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76A6A9E3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</w:t>
      </w:r>
      <w:r w:rsidR="00080431">
        <w:rPr>
          <w:rFonts w:cstheme="majorHAnsi"/>
          <w:b/>
          <w:bCs/>
          <w:color w:val="auto"/>
        </w:rPr>
        <w:t>Starowarszawskiej 5</w:t>
      </w:r>
      <w:r w:rsidRPr="00AB6CC2">
        <w:rPr>
          <w:rFonts w:cstheme="majorHAnsi"/>
          <w:b/>
          <w:bCs/>
          <w:color w:val="auto"/>
        </w:rPr>
        <w:t xml:space="preserve">, o powierzchni użytkowej </w:t>
      </w:r>
      <w:r w:rsidR="00E27D95">
        <w:rPr>
          <w:rFonts w:cstheme="majorHAnsi"/>
          <w:b/>
          <w:bCs/>
          <w:color w:val="auto"/>
        </w:rPr>
        <w:t>2</w:t>
      </w:r>
      <w:r w:rsidR="00DD7129">
        <w:rPr>
          <w:rFonts w:cstheme="majorHAnsi"/>
          <w:b/>
          <w:bCs/>
          <w:color w:val="auto"/>
        </w:rPr>
        <w:t>7,</w:t>
      </w:r>
      <w:r w:rsidR="00080431">
        <w:rPr>
          <w:rFonts w:cstheme="majorHAnsi"/>
          <w:b/>
          <w:bCs/>
          <w:color w:val="auto"/>
        </w:rPr>
        <w:t>88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3C4DE6AA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DD7129">
        <w:rPr>
          <w:rFonts w:asciiTheme="majorHAnsi" w:hAnsiTheme="majorHAnsi" w:cstheme="majorHAnsi"/>
          <w:sz w:val="24"/>
          <w:szCs w:val="24"/>
        </w:rPr>
        <w:t>1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6D2A9F">
        <w:rPr>
          <w:rFonts w:asciiTheme="majorHAnsi" w:hAnsiTheme="majorHAnsi" w:cstheme="majorHAnsi"/>
          <w:sz w:val="24"/>
          <w:szCs w:val="24"/>
        </w:rPr>
        <w:t>l</w:t>
      </w:r>
      <w:r w:rsidR="00DD7129">
        <w:rPr>
          <w:rFonts w:asciiTheme="majorHAnsi" w:hAnsiTheme="majorHAnsi" w:cstheme="majorHAnsi"/>
          <w:sz w:val="24"/>
          <w:szCs w:val="24"/>
        </w:rPr>
        <w:t>ipca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6D2A9F">
        <w:rPr>
          <w:rFonts w:asciiTheme="majorHAnsi" w:hAnsiTheme="majorHAnsi" w:cstheme="majorHAnsi"/>
          <w:sz w:val="24"/>
          <w:szCs w:val="24"/>
        </w:rPr>
        <w:t>1</w:t>
      </w:r>
      <w:r w:rsidR="00080431">
        <w:rPr>
          <w:rFonts w:asciiTheme="majorHAnsi" w:hAnsiTheme="majorHAnsi" w:cstheme="majorHAnsi"/>
          <w:sz w:val="24"/>
          <w:szCs w:val="24"/>
        </w:rPr>
        <w:t>1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DD7129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5029F5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6774AA1F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</w:t>
      </w:r>
      <w:r w:rsidR="00080431">
        <w:rPr>
          <w:rFonts w:asciiTheme="majorHAnsi" w:hAnsiTheme="majorHAnsi" w:cstheme="majorHAnsi"/>
          <w:sz w:val="24"/>
          <w:szCs w:val="24"/>
        </w:rPr>
        <w:t>Starowarszawskiej 5</w:t>
      </w:r>
      <w:r w:rsidRPr="008E1C5F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EF58CC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  <w:r w:rsidR="00080431">
        <w:rPr>
          <w:rFonts w:asciiTheme="majorHAnsi" w:hAnsiTheme="majorHAnsi" w:cstheme="majorHAnsi"/>
          <w:sz w:val="24"/>
          <w:szCs w:val="24"/>
        </w:rPr>
        <w:t>88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C675D3D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080431">
        <w:rPr>
          <w:rFonts w:asciiTheme="majorHAnsi" w:hAnsiTheme="majorHAnsi" w:cstheme="majorHAnsi"/>
          <w:sz w:val="24"/>
          <w:szCs w:val="24"/>
        </w:rPr>
        <w:t>Starowarszawskiej 5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</w:p>
    <w:p w14:paraId="5C049649" w14:textId="09801595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6D2A9F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="006D2A9F">
        <w:rPr>
          <w:rFonts w:asciiTheme="majorHAnsi" w:hAnsiTheme="majorHAnsi" w:cstheme="majorHAnsi"/>
          <w:sz w:val="24"/>
          <w:szCs w:val="24"/>
        </w:rPr>
        <w:t>,</w:t>
      </w:r>
      <w:r w:rsidR="00080431">
        <w:rPr>
          <w:rFonts w:asciiTheme="majorHAnsi" w:hAnsiTheme="majorHAnsi" w:cstheme="majorHAnsi"/>
          <w:sz w:val="24"/>
          <w:szCs w:val="24"/>
        </w:rPr>
        <w:t>88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22B98902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DD7129">
        <w:rPr>
          <w:rFonts w:asciiTheme="majorHAnsi" w:hAnsiTheme="majorHAnsi" w:cstheme="majorHAnsi"/>
          <w:sz w:val="24"/>
          <w:szCs w:val="24"/>
        </w:rPr>
        <w:t>8</w:t>
      </w:r>
      <w:r w:rsidR="00080431">
        <w:rPr>
          <w:rFonts w:asciiTheme="majorHAnsi" w:hAnsiTheme="majorHAnsi" w:cstheme="majorHAnsi"/>
          <w:sz w:val="24"/>
          <w:szCs w:val="24"/>
        </w:rPr>
        <w:t>36,40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16790A04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DD7129">
        <w:rPr>
          <w:rFonts w:asciiTheme="majorHAnsi" w:hAnsiTheme="majorHAnsi" w:cstheme="majorHAnsi"/>
          <w:sz w:val="24"/>
          <w:szCs w:val="24"/>
        </w:rPr>
        <w:t>8</w:t>
      </w:r>
      <w:r w:rsidR="00080431">
        <w:rPr>
          <w:rFonts w:asciiTheme="majorHAnsi" w:hAnsiTheme="majorHAnsi" w:cstheme="majorHAnsi"/>
          <w:sz w:val="24"/>
          <w:szCs w:val="24"/>
        </w:rPr>
        <w:t>36,40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DD7129">
        <w:rPr>
          <w:rFonts w:asciiTheme="majorHAnsi" w:hAnsiTheme="majorHAnsi" w:cstheme="majorHAnsi"/>
          <w:sz w:val="24"/>
          <w:szCs w:val="24"/>
        </w:rPr>
        <w:t xml:space="preserve">osiemset </w:t>
      </w:r>
      <w:r w:rsidR="00080431">
        <w:rPr>
          <w:rFonts w:asciiTheme="majorHAnsi" w:hAnsiTheme="majorHAnsi" w:cstheme="majorHAnsi"/>
          <w:sz w:val="24"/>
          <w:szCs w:val="24"/>
        </w:rPr>
        <w:t xml:space="preserve">trzydzieści sześć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DD7129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080431">
        <w:rPr>
          <w:rFonts w:asciiTheme="majorHAnsi" w:hAnsiTheme="majorHAnsi" w:cstheme="majorHAnsi"/>
          <w:sz w:val="24"/>
          <w:szCs w:val="24"/>
        </w:rPr>
        <w:t>4</w:t>
      </w:r>
      <w:r w:rsidR="006D2A9F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11A362CC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</w:t>
      </w:r>
      <w:r w:rsidR="00080431">
        <w:rPr>
          <w:rFonts w:asciiTheme="majorHAnsi" w:hAnsiTheme="majorHAnsi" w:cstheme="majorHAnsi"/>
          <w:sz w:val="24"/>
          <w:szCs w:val="24"/>
        </w:rPr>
        <w:t>Starowarszawskiej 5</w:t>
      </w:r>
      <w:r w:rsidRPr="008E1C5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E74C31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="006D2A9F">
        <w:rPr>
          <w:rFonts w:asciiTheme="majorHAnsi" w:hAnsiTheme="majorHAnsi" w:cstheme="majorHAnsi"/>
          <w:sz w:val="24"/>
          <w:szCs w:val="24"/>
        </w:rPr>
        <w:t>,</w:t>
      </w:r>
      <w:r w:rsidR="00080431">
        <w:rPr>
          <w:rFonts w:asciiTheme="majorHAnsi" w:hAnsiTheme="majorHAnsi" w:cstheme="majorHAnsi"/>
          <w:sz w:val="24"/>
          <w:szCs w:val="24"/>
        </w:rPr>
        <w:t>88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131CCFA3" w:rsidR="008E1C5F" w:rsidRPr="006D2A9F" w:rsidRDefault="008E1C5F" w:rsidP="006D2A9F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6D2A9F">
        <w:rPr>
          <w:rFonts w:asciiTheme="majorHAnsi" w:hAnsiTheme="majorHAnsi" w:cstheme="majorHAnsi"/>
          <w:sz w:val="24"/>
          <w:szCs w:val="24"/>
        </w:rPr>
        <w:t xml:space="preserve"> </w:t>
      </w:r>
      <w:r w:rsidRPr="006D2A9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1BEF11EA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</w:t>
      </w:r>
      <w:r w:rsidR="00D406D5">
        <w:rPr>
          <w:rFonts w:asciiTheme="majorHAnsi" w:hAnsiTheme="majorHAnsi" w:cstheme="majorHAnsi"/>
          <w:sz w:val="24"/>
          <w:szCs w:val="24"/>
        </w:rPr>
        <w:t>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673A678D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B – pokój numer 25, natomiast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informację o stanie technicznym lokalu można uzyskać w administracji budynku, to jest </w:t>
      </w:r>
      <w:r w:rsidR="00DD7129">
        <w:rPr>
          <w:rFonts w:asciiTheme="majorHAnsi" w:hAnsiTheme="majorHAnsi" w:cstheme="majorHAnsi"/>
          <w:sz w:val="24"/>
          <w:szCs w:val="24"/>
        </w:rPr>
        <w:t xml:space="preserve">P.P.U.H. „DOM” </w:t>
      </w:r>
      <w:r w:rsidRPr="008E1C5F">
        <w:rPr>
          <w:rFonts w:asciiTheme="majorHAnsi" w:hAnsiTheme="majorHAnsi" w:cstheme="majorHAnsi"/>
          <w:sz w:val="24"/>
          <w:szCs w:val="24"/>
        </w:rPr>
        <w:t xml:space="preserve">Spółka z ograniczoną odpowiedzialnością w Piotrkowie Trybunalskim, ulica </w:t>
      </w:r>
      <w:r w:rsidR="00DD7129">
        <w:rPr>
          <w:rFonts w:asciiTheme="majorHAnsi" w:hAnsiTheme="majorHAnsi" w:cstheme="majorHAnsi"/>
          <w:sz w:val="24"/>
          <w:szCs w:val="24"/>
        </w:rPr>
        <w:t>Zamurowa 10</w:t>
      </w:r>
      <w:r w:rsidRPr="008E1C5F">
        <w:rPr>
          <w:rFonts w:asciiTheme="majorHAnsi" w:hAnsiTheme="majorHAnsi" w:cstheme="majorHAnsi"/>
          <w:sz w:val="24"/>
          <w:szCs w:val="24"/>
        </w:rPr>
        <w:t xml:space="preserve">, telefon </w:t>
      </w:r>
      <w:r w:rsidR="00DD7129">
        <w:rPr>
          <w:rFonts w:asciiTheme="majorHAnsi" w:hAnsiTheme="majorHAnsi" w:cstheme="majorHAnsi"/>
          <w:sz w:val="24"/>
          <w:szCs w:val="24"/>
        </w:rPr>
        <w:t>44/647-47-52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622AD9B7" w14:textId="46A389A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 w:rsidR="00DD7129">
        <w:rPr>
          <w:rFonts w:asciiTheme="majorHAnsi" w:hAnsiTheme="majorHAnsi" w:cstheme="majorHAnsi"/>
          <w:sz w:val="24"/>
          <w:szCs w:val="24"/>
        </w:rPr>
        <w:t xml:space="preserve">P.P.U.H. „DOM” </w:t>
      </w:r>
      <w:r w:rsidR="00DD7129" w:rsidRPr="008E1C5F">
        <w:rPr>
          <w:rFonts w:asciiTheme="majorHAnsi" w:hAnsiTheme="majorHAnsi" w:cstheme="majorHAnsi"/>
          <w:sz w:val="24"/>
          <w:szCs w:val="24"/>
        </w:rPr>
        <w:t xml:space="preserve">Spółka z ograniczoną odpowiedzialnością w Piotrkowie Trybunalskim, ulica </w:t>
      </w:r>
      <w:r w:rsidR="00DD7129">
        <w:rPr>
          <w:rFonts w:asciiTheme="majorHAnsi" w:hAnsiTheme="majorHAnsi" w:cstheme="majorHAnsi"/>
          <w:sz w:val="24"/>
          <w:szCs w:val="24"/>
        </w:rPr>
        <w:t>Zamurowa 10</w:t>
      </w:r>
      <w:r w:rsidR="00DD7129" w:rsidRPr="008E1C5F">
        <w:rPr>
          <w:rFonts w:asciiTheme="majorHAnsi" w:hAnsiTheme="majorHAnsi" w:cstheme="majorHAnsi"/>
          <w:sz w:val="24"/>
          <w:szCs w:val="24"/>
        </w:rPr>
        <w:t xml:space="preserve">, telefon </w:t>
      </w:r>
      <w:r w:rsidR="00DD7129">
        <w:rPr>
          <w:rFonts w:asciiTheme="majorHAnsi" w:hAnsiTheme="majorHAnsi" w:cstheme="majorHAnsi"/>
          <w:sz w:val="24"/>
          <w:szCs w:val="24"/>
        </w:rPr>
        <w:t>44/647-47-52</w:t>
      </w:r>
      <w:r w:rsidR="00DD7129" w:rsidRPr="008E1C5F">
        <w:rPr>
          <w:rFonts w:asciiTheme="majorHAnsi" w:hAnsiTheme="majorHAnsi" w:cstheme="majorHAnsi"/>
          <w:sz w:val="24"/>
          <w:szCs w:val="24"/>
        </w:rPr>
        <w:t>.</w:t>
      </w:r>
      <w:r w:rsidRPr="008E1C5F">
        <w:rPr>
          <w:rFonts w:asciiTheme="majorHAnsi" w:hAnsiTheme="majorHAnsi" w:cstheme="majorHAnsi"/>
          <w:sz w:val="24"/>
          <w:szCs w:val="24"/>
        </w:rPr>
        <w:t xml:space="preserve">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lastRenderedPageBreak/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62C3E0FE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Umowa najmu z osobą, która przetarg wygrała zostaje zawarta niezwłocznie, jednakże nie później niż w terminie </w:t>
      </w:r>
      <w:r w:rsidR="00080431">
        <w:rPr>
          <w:rFonts w:asciiTheme="majorHAnsi" w:hAnsiTheme="majorHAnsi" w:cstheme="majorHAnsi"/>
          <w:sz w:val="24"/>
          <w:szCs w:val="24"/>
        </w:rPr>
        <w:t>20</w:t>
      </w:r>
      <w:r w:rsidRPr="008E1C5F">
        <w:rPr>
          <w:rFonts w:asciiTheme="majorHAnsi" w:hAnsiTheme="majorHAnsi" w:cstheme="majorHAnsi"/>
          <w:sz w:val="24"/>
          <w:szCs w:val="24"/>
        </w:rPr>
        <w:t xml:space="preserve">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080431"/>
    <w:rsid w:val="00146234"/>
    <w:rsid w:val="001F4CEB"/>
    <w:rsid w:val="00303825"/>
    <w:rsid w:val="0046014F"/>
    <w:rsid w:val="005029F5"/>
    <w:rsid w:val="006D2A9F"/>
    <w:rsid w:val="0071689C"/>
    <w:rsid w:val="00770B5B"/>
    <w:rsid w:val="007B08F3"/>
    <w:rsid w:val="008B6FF5"/>
    <w:rsid w:val="008E1C5F"/>
    <w:rsid w:val="0092687B"/>
    <w:rsid w:val="00AB6CC2"/>
    <w:rsid w:val="00AE491D"/>
    <w:rsid w:val="00C134B6"/>
    <w:rsid w:val="00D406D5"/>
    <w:rsid w:val="00DA6896"/>
    <w:rsid w:val="00DC517D"/>
    <w:rsid w:val="00DD7129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15</cp:revision>
  <dcterms:created xsi:type="dcterms:W3CDTF">2022-02-11T12:30:00Z</dcterms:created>
  <dcterms:modified xsi:type="dcterms:W3CDTF">2023-06-14T08:30:00Z</dcterms:modified>
</cp:coreProperties>
</file>