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C8C7" w14:textId="262F2A95" w:rsidR="00356916" w:rsidRPr="00E106B6" w:rsidRDefault="00356916" w:rsidP="00051B38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>w sprawie przetargu nieograniczonego</w:t>
      </w:r>
      <w:r w:rsidR="004E5CAC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prowadzonym trybie poza ustawą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Prawo zamówień publicznych</w:t>
      </w:r>
      <w:r w:rsidR="004E5CAC" w:rsidRPr="00E106B6">
        <w:rPr>
          <w:rFonts w:asciiTheme="majorHAnsi" w:hAnsiTheme="majorHAnsi" w:cstheme="majorHAnsi"/>
        </w:rPr>
        <w:t xml:space="preserve"> </w:t>
      </w:r>
      <w:r w:rsidR="00A915EA">
        <w:rPr>
          <w:rFonts w:asciiTheme="majorHAnsi" w:hAnsiTheme="majorHAnsi" w:cstheme="majorHAnsi"/>
        </w:rPr>
        <w:t>BM</w:t>
      </w:r>
      <w:r w:rsidRPr="00E106B6">
        <w:rPr>
          <w:rFonts w:asciiTheme="majorHAnsi" w:hAnsiTheme="majorHAnsi" w:cstheme="majorHAnsi"/>
        </w:rPr>
        <w:t>/3131/</w:t>
      </w:r>
      <w:r w:rsidR="00050877" w:rsidRPr="00E106B6">
        <w:rPr>
          <w:rFonts w:asciiTheme="majorHAnsi" w:hAnsiTheme="majorHAnsi" w:cstheme="majorHAnsi"/>
        </w:rPr>
        <w:t>1</w:t>
      </w:r>
      <w:r w:rsidR="00A915EA">
        <w:rPr>
          <w:rFonts w:asciiTheme="majorHAnsi" w:hAnsiTheme="majorHAnsi" w:cstheme="majorHAnsi"/>
        </w:rPr>
        <w:t>2</w:t>
      </w:r>
      <w:r w:rsidRPr="00E106B6">
        <w:rPr>
          <w:rFonts w:asciiTheme="majorHAnsi" w:hAnsiTheme="majorHAnsi" w:cstheme="majorHAnsi"/>
        </w:rPr>
        <w:t>/202</w:t>
      </w:r>
      <w:r w:rsidR="00050877" w:rsidRPr="00E106B6">
        <w:rPr>
          <w:rFonts w:asciiTheme="majorHAnsi" w:hAnsiTheme="majorHAnsi" w:cstheme="majorHAnsi"/>
        </w:rPr>
        <w:t>4</w:t>
      </w:r>
    </w:p>
    <w:p w14:paraId="63EEEEE6" w14:textId="0E923D4D" w:rsidR="00356916" w:rsidRPr="00E106B6" w:rsidRDefault="00356916" w:rsidP="00051B38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Zamawiający: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REGON: 590638145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E106B6">
        <w:rPr>
          <w:rFonts w:asciiTheme="majorHAnsi" w:hAnsiTheme="majorHAnsi" w:cstheme="majorHAnsi"/>
        </w:rPr>
        <w:t>Ł</w:t>
      </w:r>
      <w:r w:rsidRPr="00E106B6">
        <w:rPr>
          <w:rFonts w:asciiTheme="majorHAnsi" w:hAnsiTheme="majorHAnsi" w:cstheme="majorHAnsi"/>
        </w:rPr>
        <w:t>ódzkie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Aleja 3 Maja 31</w:t>
      </w:r>
      <w:r w:rsidR="00C61762" w:rsidRPr="00E106B6">
        <w:rPr>
          <w:rFonts w:asciiTheme="majorHAnsi" w:hAnsiTheme="majorHAnsi" w:cstheme="majorHAnsi"/>
        </w:rPr>
        <w:br/>
      </w:r>
      <w:r w:rsidR="00C61762" w:rsidRPr="00E106B6">
        <w:rPr>
          <w:rFonts w:asciiTheme="majorHAnsi" w:hAnsiTheme="majorHAnsi" w:cstheme="majorHAnsi"/>
          <w:lang w:val="de-DE"/>
        </w:rPr>
        <w:t xml:space="preserve">strona </w:t>
      </w:r>
      <w:proofErr w:type="spellStart"/>
      <w:r w:rsidR="00C61762" w:rsidRPr="00E106B6">
        <w:rPr>
          <w:rFonts w:asciiTheme="majorHAnsi" w:hAnsiTheme="majorHAnsi" w:cstheme="majorHAnsi"/>
          <w:lang w:val="de-DE"/>
        </w:rPr>
        <w:t>internetowa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E106B6">
        <w:rPr>
          <w:rFonts w:asciiTheme="majorHAnsi" w:hAnsiTheme="majorHAnsi" w:cstheme="majorHAnsi"/>
          <w:lang w:val="de-DE"/>
        </w:rPr>
        <w:t>e-mail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E106B6">
        <w:rPr>
          <w:rFonts w:asciiTheme="majorHAnsi" w:hAnsiTheme="majorHAnsi" w:cstheme="majorHAnsi"/>
          <w:u w:val="single"/>
          <w:lang w:val="de-DE"/>
        </w:rPr>
        <w:br/>
      </w:r>
      <w:r w:rsidRPr="00E106B6">
        <w:rPr>
          <w:rFonts w:asciiTheme="majorHAnsi" w:hAnsiTheme="majorHAnsi" w:cstheme="majorHAnsi"/>
        </w:rPr>
        <w:t xml:space="preserve">numer </w:t>
      </w:r>
      <w:r w:rsidR="00C61762" w:rsidRPr="00E106B6">
        <w:rPr>
          <w:rFonts w:asciiTheme="majorHAnsi" w:hAnsiTheme="majorHAnsi" w:cstheme="majorHAnsi"/>
        </w:rPr>
        <w:t>telefonu</w:t>
      </w:r>
      <w:r w:rsidR="004E5CAC" w:rsidRPr="00E106B6">
        <w:rPr>
          <w:rFonts w:asciiTheme="majorHAnsi" w:hAnsiTheme="majorHAnsi" w:cstheme="majorHAnsi"/>
        </w:rPr>
        <w:t>:</w:t>
      </w:r>
      <w:r w:rsidRPr="00E106B6">
        <w:rPr>
          <w:rFonts w:asciiTheme="majorHAnsi" w:hAnsiTheme="majorHAnsi" w:cstheme="majorHAnsi"/>
        </w:rPr>
        <w:t xml:space="preserve"> 44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tel. 732-37-70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Wysokość kapitału zakładowego 2</w:t>
      </w:r>
      <w:r w:rsidR="004D144A" w:rsidRPr="00E106B6">
        <w:rPr>
          <w:rFonts w:asciiTheme="majorHAnsi" w:hAnsiTheme="majorHAnsi" w:cstheme="majorHAnsi"/>
        </w:rPr>
        <w:t>3.008.240</w:t>
      </w:r>
      <w:r w:rsidRPr="00E106B6">
        <w:rPr>
          <w:rFonts w:asciiTheme="majorHAnsi" w:hAnsiTheme="majorHAnsi" w:cstheme="majorHAnsi"/>
        </w:rPr>
        <w:t>,00 zł. Kapitał został w pełni opłacony.</w:t>
      </w:r>
    </w:p>
    <w:p w14:paraId="4F40A017" w14:textId="3982DA7A" w:rsidR="008A5895" w:rsidRPr="00E106B6" w:rsidRDefault="00356916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E106B6">
        <w:rPr>
          <w:rFonts w:asciiTheme="majorHAnsi" w:hAnsiTheme="majorHAnsi" w:cstheme="majorHAnsi"/>
          <w:color w:val="000000"/>
        </w:rPr>
        <w:t xml:space="preserve">Przetarg nieograniczony </w:t>
      </w:r>
      <w:r w:rsidRPr="00E106B6">
        <w:rPr>
          <w:rFonts w:asciiTheme="majorHAnsi" w:hAnsiTheme="majorHAnsi" w:cstheme="majorHAnsi"/>
        </w:rPr>
        <w:t>na wykonanie inwestycji pn.:</w:t>
      </w:r>
      <w:r w:rsidR="008A5895" w:rsidRPr="00E106B6">
        <w:rPr>
          <w:rFonts w:asciiTheme="majorHAnsi" w:hAnsiTheme="majorHAnsi" w:cstheme="majorHAnsi"/>
        </w:rPr>
        <w:br/>
      </w:r>
      <w:bookmarkStart w:id="0" w:name="_Hlk171408703"/>
      <w:r w:rsidR="00A915EA" w:rsidRPr="00A915EA">
        <w:rPr>
          <w:rFonts w:asciiTheme="majorHAnsi" w:hAnsiTheme="majorHAnsi" w:cstheme="majorHAnsi"/>
        </w:rPr>
        <w:t>Wymiana 133 szt. ciepłomierzy na nowe ze zdalnym odczytem w budynkach będących własnością TBS Sp. z o.o. w Piotrkowie Trybunalskim</w:t>
      </w:r>
      <w:bookmarkEnd w:id="0"/>
    </w:p>
    <w:p w14:paraId="71A98F45" w14:textId="77777777" w:rsidR="008A5895" w:rsidRPr="00E106B6" w:rsidRDefault="00356916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E106B6" w:rsidRDefault="00356916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E106B6" w:rsidRDefault="008A5895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Kryteria oceny ofert: Cena oferty: 100%</w:t>
      </w:r>
    </w:p>
    <w:p w14:paraId="30213999" w14:textId="44927D45" w:rsidR="00F10C87" w:rsidRPr="00E106B6" w:rsidRDefault="00F10C87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Uzasadnienie wyboru wykonawcy:</w:t>
      </w:r>
      <w:r w:rsidRPr="00E106B6">
        <w:rPr>
          <w:rFonts w:asciiTheme="majorHAnsi" w:hAnsiTheme="majorHAnsi" w:cstheme="majorHAnsi"/>
        </w:rPr>
        <w:br/>
        <w:t xml:space="preserve">Oferta </w:t>
      </w:r>
      <w:r w:rsidR="00A915EA">
        <w:rPr>
          <w:rFonts w:asciiTheme="majorHAnsi" w:hAnsiTheme="majorHAnsi" w:cstheme="majorHAnsi"/>
        </w:rPr>
        <w:t xml:space="preserve">złożona przez </w:t>
      </w:r>
      <w:r w:rsidR="00A915EA" w:rsidRPr="00A915EA">
        <w:rPr>
          <w:rFonts w:asciiTheme="majorHAnsi" w:hAnsiTheme="majorHAnsi" w:cstheme="majorHAnsi"/>
          <w:szCs w:val="22"/>
        </w:rPr>
        <w:t xml:space="preserve">„TECHEM” Techniki Pomiarowe Sp. z o.o. </w:t>
      </w:r>
      <w:r w:rsidRPr="00E106B6">
        <w:rPr>
          <w:rFonts w:asciiTheme="majorHAnsi" w:hAnsiTheme="majorHAnsi" w:cstheme="majorHAnsi"/>
        </w:rPr>
        <w:t xml:space="preserve">spełnia wszystkie warunki zawarte SWZ i otrzymała </w:t>
      </w:r>
      <w:r w:rsidR="00051B38">
        <w:rPr>
          <w:rFonts w:asciiTheme="majorHAnsi" w:hAnsiTheme="majorHAnsi" w:cstheme="majorHAnsi"/>
        </w:rPr>
        <w:t xml:space="preserve">największą </w:t>
      </w:r>
      <w:r w:rsidRPr="00E106B6">
        <w:rPr>
          <w:rFonts w:asciiTheme="majorHAnsi" w:hAnsiTheme="majorHAnsi" w:cstheme="majorHAnsi"/>
        </w:rPr>
        <w:t>ilość punktów w kryterium ceny.</w:t>
      </w:r>
    </w:p>
    <w:p w14:paraId="51A7869F" w14:textId="77777777" w:rsidR="00F44856" w:rsidRPr="00E106B6" w:rsidRDefault="00356916" w:rsidP="00051B38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Dane o ofertach:</w:t>
      </w:r>
    </w:p>
    <w:p w14:paraId="04467EAF" w14:textId="585082FC" w:rsidR="00F44856" w:rsidRPr="00A915EA" w:rsidRDefault="00356916" w:rsidP="00051B38">
      <w:pPr>
        <w:widowControl w:val="0"/>
        <w:spacing w:line="360" w:lineRule="auto"/>
        <w:rPr>
          <w:rFonts w:asciiTheme="majorHAnsi" w:hAnsiTheme="majorHAnsi" w:cstheme="majorHAnsi"/>
        </w:rPr>
      </w:pPr>
      <w:r w:rsidRPr="00A915EA">
        <w:rPr>
          <w:rFonts w:asciiTheme="majorHAnsi" w:hAnsiTheme="majorHAnsi" w:cstheme="majorHAnsi"/>
        </w:rPr>
        <w:t xml:space="preserve">liczba złożonych ofert w postępowaniu publicznym: </w:t>
      </w:r>
      <w:r w:rsidR="00A915EA">
        <w:rPr>
          <w:rFonts w:asciiTheme="majorHAnsi" w:hAnsiTheme="majorHAnsi" w:cstheme="majorHAnsi"/>
        </w:rPr>
        <w:t>3</w:t>
      </w:r>
      <w:r w:rsidR="00F01228">
        <w:rPr>
          <w:rFonts w:asciiTheme="majorHAnsi" w:hAnsiTheme="majorHAnsi" w:cstheme="majorHAnsi"/>
        </w:rPr>
        <w:br/>
      </w:r>
      <w:r w:rsidRPr="00A915EA">
        <w:rPr>
          <w:rFonts w:asciiTheme="majorHAnsi" w:hAnsiTheme="majorHAnsi" w:cstheme="majorHAnsi"/>
        </w:rPr>
        <w:t xml:space="preserve">liczba ofert </w:t>
      </w:r>
      <w:r w:rsidR="002F3FCE" w:rsidRPr="00A915EA">
        <w:rPr>
          <w:rFonts w:asciiTheme="majorHAnsi" w:hAnsiTheme="majorHAnsi" w:cstheme="majorHAnsi"/>
        </w:rPr>
        <w:t>odrzuconych</w:t>
      </w:r>
      <w:r w:rsidR="008A5895" w:rsidRPr="00A915EA">
        <w:rPr>
          <w:rFonts w:asciiTheme="majorHAnsi" w:hAnsiTheme="majorHAnsi" w:cstheme="majorHAnsi"/>
        </w:rPr>
        <w:t xml:space="preserve"> i wykluczonych</w:t>
      </w:r>
      <w:r w:rsidR="002F3FCE" w:rsidRPr="00A915EA">
        <w:rPr>
          <w:rFonts w:asciiTheme="majorHAnsi" w:hAnsiTheme="majorHAnsi" w:cstheme="majorHAnsi"/>
        </w:rPr>
        <w:t xml:space="preserve"> w</w:t>
      </w:r>
      <w:r w:rsidRPr="00A915EA">
        <w:rPr>
          <w:rFonts w:asciiTheme="majorHAnsi" w:hAnsiTheme="majorHAnsi" w:cstheme="majorHAnsi"/>
        </w:rPr>
        <w:t xml:space="preserve"> postępowani</w:t>
      </w:r>
      <w:r w:rsidR="002F3FCE" w:rsidRPr="00A915EA">
        <w:rPr>
          <w:rFonts w:asciiTheme="majorHAnsi" w:hAnsiTheme="majorHAnsi" w:cstheme="majorHAnsi"/>
        </w:rPr>
        <w:t>u</w:t>
      </w:r>
      <w:r w:rsidRPr="00A915EA">
        <w:rPr>
          <w:rFonts w:asciiTheme="majorHAnsi" w:hAnsiTheme="majorHAnsi" w:cstheme="majorHAnsi"/>
        </w:rPr>
        <w:t>:</w:t>
      </w:r>
      <w:r w:rsidR="00C61762" w:rsidRPr="00A915EA">
        <w:rPr>
          <w:rFonts w:asciiTheme="majorHAnsi" w:hAnsiTheme="majorHAnsi" w:cstheme="majorHAnsi"/>
        </w:rPr>
        <w:t xml:space="preserve"> </w:t>
      </w:r>
      <w:bookmarkStart w:id="1" w:name="_Hlk132800318"/>
      <w:r w:rsidR="00A915EA" w:rsidRPr="00A915EA">
        <w:rPr>
          <w:rFonts w:asciiTheme="majorHAnsi" w:hAnsiTheme="majorHAnsi" w:cstheme="majorHAnsi"/>
        </w:rPr>
        <w:t>1</w:t>
      </w:r>
      <w:r w:rsidR="008A5895" w:rsidRPr="00A915EA">
        <w:rPr>
          <w:rFonts w:asciiTheme="majorHAnsi" w:hAnsiTheme="majorHAnsi" w:cstheme="majorHAnsi"/>
        </w:rPr>
        <w:br/>
      </w:r>
      <w:bookmarkEnd w:id="1"/>
      <w:r w:rsidRPr="00A915EA">
        <w:rPr>
          <w:rFonts w:asciiTheme="majorHAnsi" w:hAnsiTheme="majorHAnsi" w:cstheme="majorHAnsi"/>
        </w:rPr>
        <w:t>Streszczenie złożonych ofert:</w:t>
      </w:r>
      <w:bookmarkStart w:id="2" w:name="_Hlk150251973"/>
    </w:p>
    <w:p w14:paraId="1D036F1F" w14:textId="77777777" w:rsidR="00A915EA" w:rsidRPr="00A915EA" w:rsidRDefault="00A915EA" w:rsidP="00051B38">
      <w:pPr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bookmarkStart w:id="3" w:name="_Hlk166579037"/>
      <w:bookmarkEnd w:id="2"/>
      <w:r w:rsidRPr="00A915EA">
        <w:rPr>
          <w:rFonts w:asciiTheme="majorHAnsi" w:hAnsiTheme="majorHAnsi" w:cstheme="majorHAnsi"/>
          <w:szCs w:val="22"/>
        </w:rPr>
        <w:t xml:space="preserve">„TECHEM” Techniki Pomiarowe Sp. z o.o. ul. Łąkowa 7a bud. E lok. 108, 90-562 Łódź. </w:t>
      </w:r>
      <w:r w:rsidRPr="00A915EA">
        <w:rPr>
          <w:rFonts w:asciiTheme="majorHAnsi" w:hAnsiTheme="majorHAnsi" w:cstheme="majorHAnsi"/>
        </w:rPr>
        <w:t>Oferta brutto: 72.126,67  zł Oferta otrzymała 100 punktów.</w:t>
      </w:r>
    </w:p>
    <w:p w14:paraId="27CAB3D5" w14:textId="77777777" w:rsidR="00A915EA" w:rsidRPr="00A915EA" w:rsidRDefault="00A915EA" w:rsidP="00051B38">
      <w:pPr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proofErr w:type="spellStart"/>
      <w:r w:rsidRPr="00A915EA">
        <w:rPr>
          <w:rFonts w:asciiTheme="majorHAnsi" w:hAnsiTheme="majorHAnsi" w:cstheme="majorHAnsi"/>
          <w:szCs w:val="22"/>
        </w:rPr>
        <w:t>Brunata</w:t>
      </w:r>
      <w:proofErr w:type="spellEnd"/>
      <w:r w:rsidRPr="00A915EA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A915EA">
        <w:rPr>
          <w:rFonts w:asciiTheme="majorHAnsi" w:hAnsiTheme="majorHAnsi" w:cstheme="majorHAnsi"/>
          <w:szCs w:val="22"/>
        </w:rPr>
        <w:t>Zenner</w:t>
      </w:r>
      <w:proofErr w:type="spellEnd"/>
      <w:r w:rsidRPr="00A915EA">
        <w:rPr>
          <w:rFonts w:asciiTheme="majorHAnsi" w:hAnsiTheme="majorHAnsi" w:cstheme="majorHAnsi"/>
          <w:szCs w:val="22"/>
        </w:rPr>
        <w:t xml:space="preserve"> Sp. z o.o. ul. Limanowskiego 179, 31-340 Łódź. </w:t>
      </w:r>
      <w:r w:rsidRPr="00A915EA">
        <w:rPr>
          <w:rFonts w:asciiTheme="majorHAnsi" w:hAnsiTheme="majorHAnsi" w:cstheme="majorHAnsi"/>
        </w:rPr>
        <w:t>Oferta brutto: 59.261,40  zł. Oferta nie otrzymała punktów kryteriach oceny ofert.</w:t>
      </w:r>
    </w:p>
    <w:p w14:paraId="2661B55E" w14:textId="04E91036" w:rsidR="00A915EA" w:rsidRDefault="00A915EA" w:rsidP="00051B38">
      <w:pPr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r w:rsidRPr="00A915EA">
        <w:rPr>
          <w:rFonts w:asciiTheme="majorHAnsi" w:hAnsiTheme="majorHAnsi" w:cstheme="majorHAnsi"/>
          <w:szCs w:val="22"/>
        </w:rPr>
        <w:t>„GRO</w:t>
      </w:r>
      <w:r w:rsidR="00FE71A7">
        <w:rPr>
          <w:rFonts w:asciiTheme="majorHAnsi" w:hAnsiTheme="majorHAnsi" w:cstheme="majorHAnsi"/>
          <w:szCs w:val="22"/>
        </w:rPr>
        <w:t>B</w:t>
      </w:r>
      <w:r w:rsidRPr="00A915EA">
        <w:rPr>
          <w:rFonts w:asciiTheme="majorHAnsi" w:hAnsiTheme="majorHAnsi" w:cstheme="majorHAnsi"/>
          <w:szCs w:val="22"/>
        </w:rPr>
        <w:t xml:space="preserve">TREE” Sp. z o.o. ul. Władysława </w:t>
      </w:r>
      <w:proofErr w:type="spellStart"/>
      <w:r w:rsidRPr="00A915EA">
        <w:rPr>
          <w:rFonts w:asciiTheme="majorHAnsi" w:hAnsiTheme="majorHAnsi" w:cstheme="majorHAnsi"/>
          <w:szCs w:val="22"/>
        </w:rPr>
        <w:t>Trylińskiego</w:t>
      </w:r>
      <w:proofErr w:type="spellEnd"/>
      <w:r w:rsidRPr="00A915EA">
        <w:rPr>
          <w:rFonts w:asciiTheme="majorHAnsi" w:hAnsiTheme="majorHAnsi" w:cstheme="majorHAnsi"/>
          <w:szCs w:val="22"/>
        </w:rPr>
        <w:t xml:space="preserve"> 16, 10-683 Olsztyn. </w:t>
      </w:r>
      <w:r w:rsidRPr="00A915EA">
        <w:rPr>
          <w:rFonts w:asciiTheme="majorHAnsi" w:hAnsiTheme="majorHAnsi" w:cstheme="majorHAnsi"/>
        </w:rPr>
        <w:t>Oferta brutto:</w:t>
      </w:r>
      <w:r w:rsidR="00F01228">
        <w:rPr>
          <w:rFonts w:asciiTheme="majorHAnsi" w:hAnsiTheme="majorHAnsi" w:cstheme="majorHAnsi"/>
        </w:rPr>
        <w:t xml:space="preserve"> </w:t>
      </w:r>
      <w:r w:rsidRPr="00A915EA">
        <w:rPr>
          <w:rFonts w:asciiTheme="majorHAnsi" w:hAnsiTheme="majorHAnsi" w:cstheme="majorHAnsi"/>
        </w:rPr>
        <w:t>109.705,86 zł</w:t>
      </w:r>
      <w:bookmarkEnd w:id="3"/>
      <w:r w:rsidRPr="00A915EA">
        <w:rPr>
          <w:rFonts w:asciiTheme="majorHAnsi" w:hAnsiTheme="majorHAnsi" w:cstheme="majorHAnsi"/>
        </w:rPr>
        <w:t>. Oferta otrzymała 65,75 punktów.</w:t>
      </w:r>
    </w:p>
    <w:p w14:paraId="765CA42D" w14:textId="17470B0F" w:rsidR="00051B38" w:rsidRPr="00B12D06" w:rsidRDefault="00051B38" w:rsidP="00051B38">
      <w:pPr>
        <w:spacing w:line="360" w:lineRule="auto"/>
        <w:rPr>
          <w:rFonts w:asciiTheme="majorHAnsi" w:hAnsiTheme="majorHAnsi" w:cstheme="majorHAnsi"/>
        </w:rPr>
      </w:pPr>
      <w:r w:rsidRPr="00B12D06">
        <w:rPr>
          <w:rFonts w:asciiTheme="majorHAnsi" w:hAnsiTheme="majorHAnsi" w:cstheme="majorHAnsi"/>
        </w:rPr>
        <w:lastRenderedPageBreak/>
        <w:t xml:space="preserve">Towarzystwo Budownictwa Społecznego Sp. z o.o. odrzuca ofertę firmy </w:t>
      </w:r>
      <w:proofErr w:type="spellStart"/>
      <w:r w:rsidRPr="00B12D06">
        <w:rPr>
          <w:rFonts w:asciiTheme="majorHAnsi" w:hAnsiTheme="majorHAnsi" w:cstheme="majorHAnsi"/>
        </w:rPr>
        <w:t>Brunata</w:t>
      </w:r>
      <w:proofErr w:type="spellEnd"/>
      <w:r w:rsidRPr="00B12D06">
        <w:rPr>
          <w:rFonts w:asciiTheme="majorHAnsi" w:hAnsiTheme="majorHAnsi" w:cstheme="majorHAnsi"/>
        </w:rPr>
        <w:t xml:space="preserve"> </w:t>
      </w:r>
      <w:proofErr w:type="spellStart"/>
      <w:r w:rsidRPr="00B12D06">
        <w:rPr>
          <w:rFonts w:asciiTheme="majorHAnsi" w:hAnsiTheme="majorHAnsi" w:cstheme="majorHAnsi"/>
        </w:rPr>
        <w:t>Zenner</w:t>
      </w:r>
      <w:proofErr w:type="spellEnd"/>
      <w:r w:rsidRPr="00B12D06">
        <w:rPr>
          <w:rFonts w:asciiTheme="majorHAnsi" w:hAnsiTheme="majorHAnsi" w:cstheme="majorHAnsi"/>
        </w:rPr>
        <w:t xml:space="preserve">    Sp. z o. o. jako niezgodną z zapisami Specyfikacji Warunków Zamówienia. </w:t>
      </w:r>
      <w:r w:rsidR="00F01228">
        <w:rPr>
          <w:rFonts w:asciiTheme="majorHAnsi" w:hAnsiTheme="majorHAnsi" w:cstheme="majorHAnsi"/>
        </w:rPr>
        <w:br/>
      </w:r>
      <w:r w:rsidRPr="00B12D06">
        <w:rPr>
          <w:rFonts w:asciiTheme="majorHAnsi" w:hAnsiTheme="majorHAnsi" w:cstheme="majorHAnsi"/>
        </w:rPr>
        <w:t>Uzasadnienie:</w:t>
      </w:r>
      <w:r w:rsidR="00F01228">
        <w:rPr>
          <w:rFonts w:asciiTheme="majorHAnsi" w:hAnsiTheme="majorHAnsi" w:cstheme="majorHAnsi"/>
        </w:rPr>
        <w:br/>
      </w:r>
      <w:r w:rsidRPr="00B12D06">
        <w:rPr>
          <w:rFonts w:asciiTheme="majorHAnsi" w:hAnsiTheme="majorHAnsi" w:cstheme="majorHAnsi"/>
        </w:rPr>
        <w:t xml:space="preserve">W nawiązaniu do złożonej oferty przez Wykonawcę </w:t>
      </w:r>
      <w:proofErr w:type="spellStart"/>
      <w:r w:rsidRPr="00B12D06">
        <w:rPr>
          <w:rFonts w:asciiTheme="majorHAnsi" w:hAnsiTheme="majorHAnsi" w:cstheme="majorHAnsi"/>
        </w:rPr>
        <w:t>Brunata</w:t>
      </w:r>
      <w:proofErr w:type="spellEnd"/>
      <w:r w:rsidRPr="00B12D06">
        <w:rPr>
          <w:rFonts w:asciiTheme="majorHAnsi" w:hAnsiTheme="majorHAnsi" w:cstheme="majorHAnsi"/>
        </w:rPr>
        <w:t xml:space="preserve"> </w:t>
      </w:r>
      <w:proofErr w:type="spellStart"/>
      <w:r w:rsidRPr="00B12D06">
        <w:rPr>
          <w:rFonts w:asciiTheme="majorHAnsi" w:hAnsiTheme="majorHAnsi" w:cstheme="majorHAnsi"/>
        </w:rPr>
        <w:t>Zenner</w:t>
      </w:r>
      <w:proofErr w:type="spellEnd"/>
      <w:r w:rsidRPr="00B12D06">
        <w:rPr>
          <w:rFonts w:asciiTheme="majorHAnsi" w:hAnsiTheme="majorHAnsi" w:cstheme="majorHAnsi"/>
        </w:rPr>
        <w:t xml:space="preserve"> Sp. z o. o. Towarzystwo Budownictwa Społecznego Sp. z o.o. informuje, że</w:t>
      </w:r>
      <w:r w:rsidRPr="00051B38">
        <w:rPr>
          <w:rFonts w:asciiTheme="majorHAnsi" w:hAnsiTheme="majorHAnsi" w:cstheme="majorHAnsi"/>
        </w:rPr>
        <w:t xml:space="preserve"> oferta </w:t>
      </w:r>
      <w:r w:rsidRPr="00B12D06">
        <w:rPr>
          <w:rFonts w:asciiTheme="majorHAnsi" w:hAnsiTheme="majorHAnsi" w:cstheme="majorHAnsi"/>
        </w:rPr>
        <w:t xml:space="preserve">nie podlega żadnym negocjacjom handlowym i technicznym, nie ma też możliwości wprowadzenia zmian do wzoru umowy załączonego do SWZ. </w:t>
      </w:r>
      <w:r w:rsidR="00F01228">
        <w:rPr>
          <w:rFonts w:asciiTheme="majorHAnsi" w:hAnsiTheme="majorHAnsi" w:cstheme="majorHAnsi"/>
        </w:rPr>
        <w:br/>
      </w:r>
      <w:r w:rsidRPr="00B12D06">
        <w:rPr>
          <w:rFonts w:asciiTheme="majorHAnsi" w:hAnsiTheme="majorHAnsi" w:cstheme="majorHAnsi"/>
        </w:rPr>
        <w:t xml:space="preserve">Spółka podpisała ofertę, w której oświadczyła, że akceptuje treść wzoru umowy i zobowiązuje się do zawarcia umowy na warunkach określonych w SWZ i we wzorze umowy. </w:t>
      </w:r>
      <w:r w:rsidRPr="00B12D06">
        <w:rPr>
          <w:rFonts w:asciiTheme="majorHAnsi" w:hAnsiTheme="majorHAnsi" w:cstheme="majorHAnsi"/>
        </w:rPr>
        <w:br/>
        <w:t xml:space="preserve">Jednocześnie Spółka załączyła do oferty oświadczenie z którego wynika, że zamierza prowadzić negocjacje handlowe i techniczne oraz zamierza podjąć rozmowy w zakresie opracowania zapisów umowy. </w:t>
      </w:r>
      <w:r w:rsidRPr="00B12D06">
        <w:rPr>
          <w:rFonts w:asciiTheme="majorHAnsi" w:hAnsiTheme="majorHAnsi" w:cstheme="majorHAnsi"/>
        </w:rPr>
        <w:br/>
        <w:t>Z oświadczenia wynika również, że Wykonawca oczekuje przygotowania przez Zamawiającego  gniazd wtykowych dla podłączenia urządzeń przekaźnikowych z podłączeniem do prądu na własny koszt i następnie ponoszenia kosztów zużycia energii elektrycznej. Jest to sprzeczne z opisem przedmiotu zamówienia i zapisami §2 wzoru umowy, w którym</w:t>
      </w:r>
      <w:r w:rsidRPr="00B12D06">
        <w:rPr>
          <w:rFonts w:asciiTheme="majorHAnsi" w:hAnsiTheme="majorHAnsi" w:cstheme="majorHAnsi"/>
          <w:lang w:eastAsia="ar-SA"/>
        </w:rPr>
        <w:t xml:space="preserve"> Wykonawca oświadcza, że zapoznał się z wszystkimi warunkami niezbędnymi do wykonania przedmiotu umowy – bez konieczności ponoszenia przez Zamawiającego jakichkolwiek dodatkowych kosztów.</w:t>
      </w:r>
      <w:r w:rsidR="00F01228">
        <w:rPr>
          <w:rFonts w:asciiTheme="majorHAnsi" w:hAnsiTheme="majorHAnsi" w:cstheme="majorHAnsi"/>
        </w:rPr>
        <w:br/>
      </w:r>
      <w:r w:rsidRPr="00B12D06">
        <w:rPr>
          <w:rFonts w:asciiTheme="majorHAnsi" w:hAnsiTheme="majorHAnsi" w:cstheme="majorHAnsi"/>
        </w:rPr>
        <w:t xml:space="preserve">Zamawiający nie przewidział w opisie przedmiotu zamówienia konieczności wykonania podłączeń nowych obwodów elektrycznych oraz ponoszenia dalszych dodatkowych kosztów, np. zużycia energii elektrycznej. Istnieje bowiem możliwość zastosowania innego systemu odczytu.  </w:t>
      </w:r>
      <w:r w:rsidRPr="00B12D06">
        <w:rPr>
          <w:rFonts w:asciiTheme="majorHAnsi" w:hAnsiTheme="majorHAnsi" w:cstheme="majorHAnsi"/>
        </w:rPr>
        <w:br/>
        <w:t xml:space="preserve">Zgodnie ze wzorem umowy, przedmiot umowy powinien być oddany w stanie nadającym się bezpośrednio do użytkowania, w tym dokonania odczytu kontrolnego. </w:t>
      </w:r>
      <w:r w:rsidR="00F01228">
        <w:rPr>
          <w:rFonts w:asciiTheme="majorHAnsi" w:hAnsiTheme="majorHAnsi" w:cstheme="majorHAnsi"/>
        </w:rPr>
        <w:br/>
      </w:r>
      <w:r w:rsidRPr="00B12D06">
        <w:rPr>
          <w:rFonts w:asciiTheme="majorHAnsi" w:hAnsiTheme="majorHAnsi" w:cstheme="majorHAnsi"/>
        </w:rPr>
        <w:t>Ponadto wraz z ofertą nie zostały złożone:</w:t>
      </w:r>
    </w:p>
    <w:p w14:paraId="5B135300" w14:textId="77777777" w:rsidR="00051B38" w:rsidRPr="00B12D06" w:rsidRDefault="00051B38" w:rsidP="00051B38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B12D06">
        <w:rPr>
          <w:rFonts w:asciiTheme="majorHAnsi" w:hAnsiTheme="majorHAnsi" w:cstheme="majorHAnsi"/>
        </w:rPr>
        <w:t>referencje lub inne dokumenty potwierdzające należyte wykonanie robót;</w:t>
      </w:r>
    </w:p>
    <w:p w14:paraId="0F63FC32" w14:textId="77777777" w:rsidR="00051B38" w:rsidRPr="00B12D06" w:rsidRDefault="00051B38" w:rsidP="00051B38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bookmarkStart w:id="4" w:name="_Hlk176331090"/>
      <w:r w:rsidRPr="00B12D06">
        <w:rPr>
          <w:rFonts w:asciiTheme="majorHAnsi" w:hAnsiTheme="majorHAnsi" w:cstheme="majorHAnsi"/>
        </w:rPr>
        <w:t>adresy  Zamawiających wymienionych w załączniku nr 5 do SWZ;</w:t>
      </w:r>
      <w:bookmarkEnd w:id="4"/>
    </w:p>
    <w:p w14:paraId="09CED1CD" w14:textId="77777777" w:rsidR="00051B38" w:rsidRPr="00B12D06" w:rsidRDefault="00051B38" w:rsidP="00051B38">
      <w:pPr>
        <w:pStyle w:val="Akapitzlist"/>
        <w:numPr>
          <w:ilvl w:val="0"/>
          <w:numId w:val="26"/>
        </w:numPr>
        <w:spacing w:line="360" w:lineRule="auto"/>
        <w:ind w:left="709" w:hanging="349"/>
        <w:rPr>
          <w:rFonts w:asciiTheme="majorHAnsi" w:hAnsiTheme="majorHAnsi" w:cstheme="majorHAnsi"/>
        </w:rPr>
      </w:pPr>
      <w:r w:rsidRPr="00B12D06">
        <w:rPr>
          <w:rFonts w:asciiTheme="majorHAnsi" w:hAnsiTheme="majorHAnsi" w:cstheme="majorHAnsi"/>
        </w:rPr>
        <w:t>informacje o podstawie dysponowania osobami, które będą uczestniczyć w wykonaniu zamówienia  - w załączniku nr 6 do SWZ.</w:t>
      </w:r>
    </w:p>
    <w:p w14:paraId="663B3124" w14:textId="56C22DC6" w:rsidR="00532CA0" w:rsidRPr="00E106B6" w:rsidRDefault="00051B38" w:rsidP="00F01228">
      <w:pPr>
        <w:spacing w:line="360" w:lineRule="auto"/>
        <w:rPr>
          <w:rFonts w:asciiTheme="majorHAnsi" w:hAnsiTheme="majorHAnsi" w:cstheme="majorHAnsi"/>
        </w:rPr>
      </w:pPr>
      <w:r w:rsidRPr="00B12D06">
        <w:rPr>
          <w:rFonts w:asciiTheme="majorHAnsi" w:hAnsiTheme="majorHAnsi" w:cstheme="majorHAnsi"/>
        </w:rPr>
        <w:t xml:space="preserve">W związku z tym, iż oferta jest niezgodna ze SWZ podlega odrzuceniu. </w:t>
      </w:r>
    </w:p>
    <w:sectPr w:rsidR="00532CA0" w:rsidRPr="00E106B6" w:rsidSect="00051B38">
      <w:pgSz w:w="11906" w:h="16838"/>
      <w:pgMar w:top="1021" w:right="70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59B"/>
    <w:multiLevelType w:val="hybridMultilevel"/>
    <w:tmpl w:val="B478FFDA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162248"/>
    <w:multiLevelType w:val="hybridMultilevel"/>
    <w:tmpl w:val="3F72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5284"/>
    <w:multiLevelType w:val="hybridMultilevel"/>
    <w:tmpl w:val="4F62F470"/>
    <w:lvl w:ilvl="0" w:tplc="ED9289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D79CC"/>
    <w:multiLevelType w:val="hybridMultilevel"/>
    <w:tmpl w:val="B4C6B166"/>
    <w:lvl w:ilvl="0" w:tplc="81AE7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9"/>
  </w:num>
  <w:num w:numId="2" w16cid:durableId="66612803">
    <w:abstractNumId w:val="17"/>
  </w:num>
  <w:num w:numId="3" w16cid:durableId="1780875281">
    <w:abstractNumId w:val="11"/>
  </w:num>
  <w:num w:numId="4" w16cid:durableId="167182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1"/>
  </w:num>
  <w:num w:numId="6" w16cid:durableId="1528446614">
    <w:abstractNumId w:val="15"/>
  </w:num>
  <w:num w:numId="7" w16cid:durableId="472064707">
    <w:abstractNumId w:val="13"/>
  </w:num>
  <w:num w:numId="8" w16cid:durableId="991642392">
    <w:abstractNumId w:val="6"/>
  </w:num>
  <w:num w:numId="9" w16cid:durableId="45221038">
    <w:abstractNumId w:val="9"/>
  </w:num>
  <w:num w:numId="10" w16cid:durableId="972829371">
    <w:abstractNumId w:val="2"/>
  </w:num>
  <w:num w:numId="11" w16cid:durableId="1490096150">
    <w:abstractNumId w:val="14"/>
  </w:num>
  <w:num w:numId="12" w16cid:durableId="1034624203">
    <w:abstractNumId w:val="0"/>
  </w:num>
  <w:num w:numId="13" w16cid:durableId="991524539">
    <w:abstractNumId w:val="7"/>
  </w:num>
  <w:num w:numId="14" w16cid:durableId="1009873174">
    <w:abstractNumId w:val="8"/>
  </w:num>
  <w:num w:numId="15" w16cid:durableId="1903902198">
    <w:abstractNumId w:val="18"/>
  </w:num>
  <w:num w:numId="16" w16cid:durableId="2056344613">
    <w:abstractNumId w:val="23"/>
  </w:num>
  <w:num w:numId="17" w16cid:durableId="633870317">
    <w:abstractNumId w:val="5"/>
  </w:num>
  <w:num w:numId="18" w16cid:durableId="603803343">
    <w:abstractNumId w:val="24"/>
  </w:num>
  <w:num w:numId="19" w16cid:durableId="1069426999">
    <w:abstractNumId w:val="20"/>
  </w:num>
  <w:num w:numId="20" w16cid:durableId="755786650">
    <w:abstractNumId w:val="21"/>
  </w:num>
  <w:num w:numId="21" w16cid:durableId="1344548923">
    <w:abstractNumId w:val="22"/>
  </w:num>
  <w:num w:numId="22" w16cid:durableId="5636183">
    <w:abstractNumId w:val="10"/>
  </w:num>
  <w:num w:numId="23" w16cid:durableId="1413627931">
    <w:abstractNumId w:val="4"/>
  </w:num>
  <w:num w:numId="24" w16cid:durableId="1536313853">
    <w:abstractNumId w:val="12"/>
  </w:num>
  <w:num w:numId="25" w16cid:durableId="92822569">
    <w:abstractNumId w:val="3"/>
  </w:num>
  <w:num w:numId="26" w16cid:durableId="101802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51B38"/>
    <w:rsid w:val="000F4103"/>
    <w:rsid w:val="00143E87"/>
    <w:rsid w:val="00287801"/>
    <w:rsid w:val="002F3FCE"/>
    <w:rsid w:val="00356916"/>
    <w:rsid w:val="00394CEE"/>
    <w:rsid w:val="004C62CC"/>
    <w:rsid w:val="004D144A"/>
    <w:rsid w:val="004E5CAC"/>
    <w:rsid w:val="00532CA0"/>
    <w:rsid w:val="005A0A0F"/>
    <w:rsid w:val="006611AB"/>
    <w:rsid w:val="00666577"/>
    <w:rsid w:val="0067750A"/>
    <w:rsid w:val="007E1654"/>
    <w:rsid w:val="007F7599"/>
    <w:rsid w:val="0089553C"/>
    <w:rsid w:val="008A5895"/>
    <w:rsid w:val="008E53A3"/>
    <w:rsid w:val="00974C4D"/>
    <w:rsid w:val="009D1135"/>
    <w:rsid w:val="00A21D3B"/>
    <w:rsid w:val="00A915EA"/>
    <w:rsid w:val="00AE53E2"/>
    <w:rsid w:val="00BD56DF"/>
    <w:rsid w:val="00C61762"/>
    <w:rsid w:val="00D7212A"/>
    <w:rsid w:val="00D92E6B"/>
    <w:rsid w:val="00E106B6"/>
    <w:rsid w:val="00F01228"/>
    <w:rsid w:val="00F10C87"/>
    <w:rsid w:val="00F44856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21</cp:revision>
  <cp:lastPrinted>2024-09-04T08:24:00Z</cp:lastPrinted>
  <dcterms:created xsi:type="dcterms:W3CDTF">2022-10-10T13:09:00Z</dcterms:created>
  <dcterms:modified xsi:type="dcterms:W3CDTF">2024-09-04T08:46:00Z</dcterms:modified>
</cp:coreProperties>
</file>