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3BC9" w14:textId="77777777" w:rsidR="00EA4C45" w:rsidRPr="00586B60" w:rsidRDefault="00EA4C45" w:rsidP="00EA4C45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 najmu lokalu użytkowego położonego przy ulicy ………………….. w Piotrkowie Trybunalskim zawartej w dniu …............ </w:t>
      </w:r>
      <w:r>
        <w:rPr>
          <w:rFonts w:cstheme="majorHAnsi"/>
          <w:color w:val="auto"/>
          <w:sz w:val="24"/>
          <w:szCs w:val="24"/>
        </w:rPr>
        <w:t>roku</w:t>
      </w:r>
    </w:p>
    <w:p w14:paraId="21B88B01" w14:textId="77777777" w:rsidR="00EA4C45" w:rsidRPr="003D143F" w:rsidRDefault="00EA4C45" w:rsidP="00EA4C4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Zgodnie z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umowy najmu Najemca oprócz czynszu jest zobowiązany uiszczać</w:t>
      </w:r>
      <w:r w:rsidRPr="00586B60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 xml:space="preserve">miesięcznie Wynajmującemu za opłaty niezależne od właściciela </w:t>
      </w:r>
      <w:r>
        <w:rPr>
          <w:rFonts w:asciiTheme="majorHAnsi" w:hAnsiTheme="majorHAnsi" w:cstheme="majorHAnsi"/>
          <w:sz w:val="24"/>
          <w:szCs w:val="24"/>
        </w:rPr>
        <w:t>wg cen obowiązujących w dniu zawarcia umowy, a wynikające z umów zawartych z dostawcami mediów, które wynoszą:</w:t>
      </w:r>
    </w:p>
    <w:p w14:paraId="3FB957F1" w14:textId="77777777" w:rsidR="00EA4C45" w:rsidRDefault="00EA4C45" w:rsidP="00EA4C45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 dostawę ciepła do lokalu (centralne ogrzewanie + podgrzanie c.w.u.) – stawka zaliczkowa wynosi</w:t>
      </w:r>
      <w:r w:rsidRPr="003D143F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…………..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</w:t>
      </w:r>
      <w:r>
        <w:rPr>
          <w:rFonts w:asciiTheme="majorHAnsi" w:hAnsiTheme="majorHAnsi" w:cstheme="majorHAnsi"/>
          <w:sz w:val="24"/>
          <w:szCs w:val="24"/>
        </w:rPr>
        <w:t>2 (brutto) powierzchni użytkowej lokalu.</w:t>
      </w:r>
    </w:p>
    <w:p w14:paraId="446F8354" w14:textId="77777777" w:rsidR="00EA4C45" w:rsidRDefault="00EA4C45" w:rsidP="00EA4C45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Opłata za centralne ogrzewanie ma charakter zaliczkowy, tzn. stanowi zaliczkę pobieraną co miesiąc przez Wynajmującego na poczet końcowego rozliczenia kosztów dostawy ciepła do budynku.</w:t>
      </w:r>
    </w:p>
    <w:p w14:paraId="050E1200" w14:textId="77777777" w:rsidR="00EA4C45" w:rsidRDefault="00EA4C45" w:rsidP="00EA4C45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Stawki opłat zaliczkowych wynikają z planowanych kosztów zakupu ciepła dla budynku, w którym znajduje się lokal, w danym sezonie rozliczeniowym.</w:t>
      </w:r>
    </w:p>
    <w:p w14:paraId="07D52D5F" w14:textId="77777777" w:rsidR="00EA4C45" w:rsidRDefault="00EA4C45" w:rsidP="00EA4C45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poniesionych kosztów dostawy ciepła do budynku i zebranych zaliczek dokonywane jest po zakończeniu okresu rozliczeniowego.</w:t>
      </w:r>
    </w:p>
    <w:p w14:paraId="183A3ECD" w14:textId="77777777" w:rsidR="00EA4C45" w:rsidRDefault="00EA4C45" w:rsidP="00EA4C45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to obejmuje 12-miesięczny okres rozliczeniowy, tj. od 01.01. do 31.12. każdego roku.</w:t>
      </w:r>
    </w:p>
    <w:p w14:paraId="0D87F52C" w14:textId="77777777" w:rsidR="00EA4C45" w:rsidRPr="00B87859" w:rsidRDefault="00EA4C45" w:rsidP="00EA4C45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Miesięczną opłatę zaliczkową na poczet kosztów centralnego ogrzewania i ciepłej wody użytkowej ustala się poprzez pomnożenie powierzchni użytkowej przez stawkę jednostkową określoną kalkulacją na dany okres rozliczeniowy.</w:t>
      </w:r>
    </w:p>
    <w:p w14:paraId="33D56364" w14:textId="77777777" w:rsidR="00EA4C45" w:rsidRDefault="00EA4C45" w:rsidP="00EA4C4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zużycia ilości wody i odprowadzenia ścieków wynika z odrębnej umowy zawartej pomiędzy Najemcą lokalu, a Piotrkowskie Wodociągi i Kanalizacja Sp. z o.o. w Piotrkowie Trybunalskim na zasadach określonych w ust. 1,2,3.</w:t>
      </w:r>
    </w:p>
    <w:p w14:paraId="1C52B4F8" w14:textId="77777777" w:rsidR="00EA4C45" w:rsidRDefault="00EA4C45" w:rsidP="00EA4C45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Ilość wody zużytej przez najemców budynku ustalana jest na podstawie wskazań wodomierza głównego w tym budynku.</w:t>
      </w:r>
    </w:p>
    <w:p w14:paraId="2BF54611" w14:textId="77777777" w:rsidR="00EA4C45" w:rsidRDefault="00EA4C45" w:rsidP="00EA4C45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Przyjmuje się ilość odprowadzonych ścieków jako wielkość równą ilości zużytej wody.</w:t>
      </w:r>
    </w:p>
    <w:p w14:paraId="7B8DC7F3" w14:textId="77777777" w:rsidR="00EA4C45" w:rsidRPr="00AB13EB" w:rsidRDefault="00EA4C45" w:rsidP="00EA4C45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wystąpienia różnicy wskazań pomiędzy wodomierzem głównym, a sumą wodomierzy lokalowych (na podstawie informacji od dostawcy wody), różnica ta zostanie rozliczona przez Wynajmującego pomiędzy wszystkich najemców, proporcjonalnie do wskazań wodomierzy lokalowych wg. Cen dostawcy wody i odbiorcy ścieków.</w:t>
      </w:r>
    </w:p>
    <w:p w14:paraId="093CA3F3" w14:textId="77777777" w:rsidR="00EA4C45" w:rsidRPr="00725B84" w:rsidRDefault="00EA4C45" w:rsidP="00EA4C45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5B84">
        <w:rPr>
          <w:rFonts w:asciiTheme="majorHAnsi" w:hAnsiTheme="majorHAnsi" w:cstheme="majorHAnsi"/>
          <w:sz w:val="24"/>
          <w:szCs w:val="24"/>
        </w:rPr>
        <w:lastRenderedPageBreak/>
        <w:t>Szczegółowe zasady rozliczania kosztów dostawy wody i odprowadzania ścieków dla użytkowników lokali użytkowych zawiera zatwierdzony Zarządzeniem Nr 2/2024 Zarządu Towarzystwa Budownictwa Społecznego Spółka z o.o. w Piotrkowie Trybunalskim z dnia 30.01.2024 r. „Regulamin określający zasady rozliczania kosztów dostawy wody i odprowadzania ścieków w budynkach stanowiących własność Towarzystwa Budownictwa Społecznego Spółka z o.o. w Piotrkowie Trybunalskim, Aleja 3 Maja 31 i w budynkach zarządzanych oraz dzierżawionych przez TBS Spółka z o.o.</w:t>
      </w:r>
    </w:p>
    <w:p w14:paraId="766A5FB1" w14:textId="77777777" w:rsidR="00EA4C45" w:rsidRPr="00A42B10" w:rsidRDefault="00EA4C45" w:rsidP="00EA4C45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Opłaty niezależne od właściciela Najemca jest obowiązany uiszczać miesięcznie z góry bez uprzedniego wezwania w terminie do dnia 10 każdego miesiąca kalendarzowego, za który przypada należność począwszy od dnia..........</w:t>
      </w:r>
      <w:r>
        <w:rPr>
          <w:rFonts w:asciiTheme="majorHAnsi" w:hAnsiTheme="majorHAnsi" w:cstheme="majorHAnsi"/>
          <w:sz w:val="24"/>
          <w:szCs w:val="24"/>
        </w:rPr>
        <w:t>...........</w:t>
      </w:r>
      <w:r w:rsidRPr="00A42B10">
        <w:rPr>
          <w:rFonts w:asciiTheme="majorHAnsi" w:hAnsiTheme="majorHAnsi" w:cstheme="majorHAnsi"/>
          <w:sz w:val="24"/>
          <w:szCs w:val="24"/>
        </w:rPr>
        <w:t>....roku</w:t>
      </w:r>
    </w:p>
    <w:p w14:paraId="14580720" w14:textId="3B092B83" w:rsidR="00D916E3" w:rsidRPr="00EA4C45" w:rsidRDefault="00EA4C45" w:rsidP="00EA4C4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sectPr w:rsidR="00D916E3" w:rsidRPr="00EA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7300"/>
    <w:multiLevelType w:val="hybridMultilevel"/>
    <w:tmpl w:val="85E2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551"/>
    <w:multiLevelType w:val="hybridMultilevel"/>
    <w:tmpl w:val="B212C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4B2E"/>
    <w:multiLevelType w:val="hybridMultilevel"/>
    <w:tmpl w:val="B212C8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1999">
    <w:abstractNumId w:val="0"/>
  </w:num>
  <w:num w:numId="2" w16cid:durableId="645865935">
    <w:abstractNumId w:val="1"/>
  </w:num>
  <w:num w:numId="3" w16cid:durableId="143609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79"/>
    <w:rsid w:val="0015314E"/>
    <w:rsid w:val="00153779"/>
    <w:rsid w:val="00184DF0"/>
    <w:rsid w:val="00254269"/>
    <w:rsid w:val="00392D85"/>
    <w:rsid w:val="00436B8C"/>
    <w:rsid w:val="00500D76"/>
    <w:rsid w:val="00514280"/>
    <w:rsid w:val="005416B1"/>
    <w:rsid w:val="00AE7391"/>
    <w:rsid w:val="00B91CEB"/>
    <w:rsid w:val="00C55407"/>
    <w:rsid w:val="00C773C1"/>
    <w:rsid w:val="00D916E3"/>
    <w:rsid w:val="00E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C402"/>
  <w15:chartTrackingRefBased/>
  <w15:docId w15:val="{E345CC37-087A-46BF-9CBA-B2281C15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C4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3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3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3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3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3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3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5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3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37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37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37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37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37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37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3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3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37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37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37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37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2025-01-21T09:15:00Z</dcterms:created>
  <dcterms:modified xsi:type="dcterms:W3CDTF">2025-01-21T09:16:00Z</dcterms:modified>
</cp:coreProperties>
</file>