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C0BE" w14:textId="77777777" w:rsidR="00DE591A" w:rsidRPr="00586B60" w:rsidRDefault="00DE591A" w:rsidP="00DE591A">
      <w:pPr>
        <w:pStyle w:val="Nagwek2"/>
        <w:spacing w:before="100" w:beforeAutospacing="1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 xml:space="preserve">Załącznik </w:t>
      </w:r>
      <w:r>
        <w:rPr>
          <w:rFonts w:cstheme="majorHAnsi"/>
          <w:color w:val="auto"/>
          <w:sz w:val="24"/>
          <w:szCs w:val="24"/>
        </w:rPr>
        <w:t>Numer</w:t>
      </w:r>
      <w:r w:rsidRPr="00586B60">
        <w:rPr>
          <w:rFonts w:cstheme="majorHAnsi"/>
          <w:color w:val="auto"/>
          <w:sz w:val="24"/>
          <w:szCs w:val="24"/>
        </w:rPr>
        <w:t xml:space="preserve"> 1 do umowy najmu lokalu użytkowego położonego przy ulicy ………………….. w Piotrkowie Trybunalskim zawartej w dniu …............ </w:t>
      </w:r>
      <w:r>
        <w:rPr>
          <w:rFonts w:cstheme="majorHAnsi"/>
          <w:color w:val="auto"/>
          <w:sz w:val="24"/>
          <w:szCs w:val="24"/>
        </w:rPr>
        <w:t>roku</w:t>
      </w:r>
    </w:p>
    <w:p w14:paraId="23AB2C1E" w14:textId="77777777" w:rsidR="00DE591A" w:rsidRPr="003D143F" w:rsidRDefault="00DE591A" w:rsidP="00DE591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Zgodnie z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umowy najmu Najemca oprócz czynszu jest zobowiązany uiszczać</w:t>
      </w:r>
      <w:r w:rsidRPr="00586B60"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>miesięcznie Wynajmującemu za opłaty niezależne od właściciela w następującej wysokości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78C839D6" w14:textId="77777777" w:rsidR="00DE591A" w:rsidRPr="003D143F" w:rsidRDefault="00DE591A" w:rsidP="00DE591A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zimna woda: </w:t>
      </w:r>
      <w:r>
        <w:rPr>
          <w:rFonts w:asciiTheme="majorHAnsi" w:hAnsiTheme="majorHAnsi" w:cstheme="majorHAnsi"/>
          <w:sz w:val="24"/>
          <w:szCs w:val="24"/>
        </w:rPr>
        <w:t>…………..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zł/m3,</w:t>
      </w:r>
    </w:p>
    <w:p w14:paraId="345FB6C3" w14:textId="77777777" w:rsidR="00DE591A" w:rsidRPr="003D143F" w:rsidRDefault="00DE591A" w:rsidP="00DE591A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odprowadzenie ścieków: </w:t>
      </w:r>
      <w:r>
        <w:rPr>
          <w:rFonts w:asciiTheme="majorHAnsi" w:hAnsiTheme="majorHAnsi" w:cstheme="majorHAnsi"/>
          <w:sz w:val="24"/>
          <w:szCs w:val="24"/>
        </w:rPr>
        <w:t>………………..</w:t>
      </w:r>
      <w:r w:rsidRPr="003D143F">
        <w:rPr>
          <w:rFonts w:asciiTheme="majorHAnsi" w:hAnsiTheme="majorHAnsi" w:cstheme="majorHAnsi"/>
          <w:sz w:val="24"/>
          <w:szCs w:val="24"/>
        </w:rPr>
        <w:t xml:space="preserve"> zł/m3.</w:t>
      </w:r>
    </w:p>
    <w:p w14:paraId="56F31F98" w14:textId="77777777" w:rsidR="00DE591A" w:rsidRPr="003D143F" w:rsidRDefault="00DE591A" w:rsidP="00DE591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Zgodnie z Regulaminem rozliczania kosztów dostawy wody i odprowadzania ścieków dla najemców lokali użytkowych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3D143F">
        <w:rPr>
          <w:rFonts w:asciiTheme="majorHAnsi" w:hAnsiTheme="majorHAnsi" w:cstheme="majorHAnsi"/>
          <w:sz w:val="24"/>
          <w:szCs w:val="24"/>
        </w:rPr>
        <w:t xml:space="preserve">obowiązują </w:t>
      </w:r>
      <w:r>
        <w:rPr>
          <w:rFonts w:asciiTheme="majorHAnsi" w:hAnsiTheme="majorHAnsi" w:cstheme="majorHAnsi"/>
          <w:sz w:val="24"/>
          <w:szCs w:val="24"/>
        </w:rPr>
        <w:t>niżej wymienione</w:t>
      </w:r>
      <w:r w:rsidRPr="003D143F">
        <w:rPr>
          <w:rFonts w:asciiTheme="majorHAnsi" w:hAnsiTheme="majorHAnsi" w:cstheme="majorHAnsi"/>
          <w:sz w:val="24"/>
          <w:szCs w:val="24"/>
        </w:rPr>
        <w:t xml:space="preserve"> zasady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</w:p>
    <w:p w14:paraId="480FF25E" w14:textId="77777777" w:rsidR="00DE591A" w:rsidRDefault="00DE591A" w:rsidP="00DE591A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Koszty dostawy wody i odprowadzania ścieków dla nieruchomości wynikają z faktur obciążeniowych dostawcy wody na podstawie ilości dostarczanej wody i taryf określających ceny i stawki opłat.</w:t>
      </w:r>
    </w:p>
    <w:p w14:paraId="26D1EC6C" w14:textId="77777777" w:rsidR="00DE591A" w:rsidRDefault="00DE591A" w:rsidP="00DE591A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227CBB">
        <w:rPr>
          <w:rFonts w:asciiTheme="majorHAnsi" w:hAnsiTheme="majorHAnsi" w:cstheme="majorHAnsi"/>
          <w:sz w:val="24"/>
          <w:szCs w:val="24"/>
        </w:rPr>
        <w:t>Ilość wody dostarczonej do nieruchomości ustalana jest na podstawie odczytu wskazań wodomierzy głównych zainstalowanych na przyłączach.</w:t>
      </w:r>
    </w:p>
    <w:p w14:paraId="5E67B0C4" w14:textId="77777777" w:rsidR="00DE591A" w:rsidRDefault="00DE591A" w:rsidP="00DE591A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lokalach wyposażonych w instalację ściekową, zgodnie z zasadą przyjętą przez dostawców wody, ilość odprowadzonych ścieków równa jest ilości dostarczanej wody.</w:t>
      </w:r>
    </w:p>
    <w:p w14:paraId="4AF53E9F" w14:textId="77777777" w:rsidR="00DE591A" w:rsidRPr="00227CBB" w:rsidRDefault="00DE591A" w:rsidP="00DE591A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 poczet kosztów dostawy wody i odprowadzania ścieków użytkownicy lokali winni wnosić miesięczne zaliczki w terminach opłat czynszowych wg następujących zasad:</w:t>
      </w:r>
    </w:p>
    <w:p w14:paraId="3D70376C" w14:textId="77777777" w:rsidR="00DE591A" w:rsidRDefault="00DE591A" w:rsidP="00DE591A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656C">
        <w:rPr>
          <w:rFonts w:asciiTheme="majorHAnsi" w:hAnsiTheme="majorHAnsi" w:cstheme="majorHAnsi"/>
          <w:sz w:val="24"/>
          <w:szCs w:val="24"/>
        </w:rPr>
        <w:t>w lokalach opomiarowanych wysokość opłat zaliczkowych na dany lokal wynika ze średniego zużycia wody w poprzednim okresie rozliczeniowych oraz ceny jednostkowej wody i kanalizacji zgodnie z taryfą.</w:t>
      </w:r>
    </w:p>
    <w:p w14:paraId="150B0606" w14:textId="77777777" w:rsidR="00DE591A" w:rsidRPr="00A42B10" w:rsidRDefault="00DE591A" w:rsidP="00DE591A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5656C">
        <w:rPr>
          <w:rFonts w:asciiTheme="majorHAnsi" w:hAnsiTheme="majorHAnsi" w:cstheme="majorHAnsi"/>
          <w:sz w:val="24"/>
          <w:szCs w:val="24"/>
        </w:rPr>
        <w:t>w lokalach nieopomiarowanych</w:t>
      </w:r>
      <w:r>
        <w:rPr>
          <w:rFonts w:asciiTheme="majorHAnsi" w:hAnsiTheme="majorHAnsi" w:cstheme="majorHAnsi"/>
          <w:sz w:val="24"/>
          <w:szCs w:val="24"/>
        </w:rPr>
        <w:t xml:space="preserve"> wysokość opłat wynika z ceny jednostkowej wody i kanalizacji, ilości osób zatrudnionych w danym lokalu oraz przyjętej normy miesięcznego zużycia dla budynku, tj. 4,5 m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>
        <w:rPr>
          <w:rFonts w:asciiTheme="majorHAnsi" w:hAnsiTheme="majorHAnsi" w:cstheme="majorHAnsi"/>
          <w:sz w:val="24"/>
          <w:szCs w:val="24"/>
        </w:rPr>
        <w:t>/osobę miesięcznie.</w:t>
      </w:r>
    </w:p>
    <w:p w14:paraId="62F2DB36" w14:textId="77777777" w:rsidR="00DE591A" w:rsidRDefault="00DE591A" w:rsidP="00DE591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Zarząd Spółki ma prawo zastosowania innej normy miesięcznego zużycia wod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A42B10">
        <w:rPr>
          <w:rFonts w:asciiTheme="majorHAnsi" w:hAnsiTheme="majorHAnsi" w:cstheme="majorHAnsi"/>
          <w:sz w:val="24"/>
          <w:szCs w:val="24"/>
        </w:rPr>
        <w:t>.</w:t>
      </w:r>
    </w:p>
    <w:p w14:paraId="19D087F4" w14:textId="77777777" w:rsidR="00DE591A" w:rsidRDefault="00DE591A" w:rsidP="00DE591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Rozliczenie naliczonych zaliczek następuje na koniec okresu rozliczeniowego, nie później niż na dzień 30 czerwca i 31 grudnia.</w:t>
      </w:r>
    </w:p>
    <w:p w14:paraId="6FFC4D3E" w14:textId="77777777" w:rsidR="00DE591A" w:rsidRDefault="00DE591A" w:rsidP="00DE591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przypadku lokali nieopomiarowanych, gdzie wysokość opłat za zużycie wody uzależniona jest od ilości osób zatrudnionych – najemca ma obowiązek niezwłocznego zgłaszania do administracji zmiany ilości osób w zajmowanym lokalu.</w:t>
      </w:r>
    </w:p>
    <w:p w14:paraId="3D2C26CE" w14:textId="77777777" w:rsidR="00DE591A" w:rsidRDefault="00DE591A" w:rsidP="00DE591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Wynikowe rozliczenie kosztów dokonywane jest na podstawie faktur obciążeniowych dostawcy wody zgodnie ze wskazaniami wodomierzy głównych na przyłączach, pomniejszone o następujące koszty:</w:t>
      </w:r>
    </w:p>
    <w:p w14:paraId="61D97A3C" w14:textId="77777777" w:rsidR="00DE591A" w:rsidRDefault="00DE591A" w:rsidP="00DE591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 wody zużytej na cele porządkowe;</w:t>
      </w:r>
    </w:p>
    <w:p w14:paraId="6F3341FC" w14:textId="77777777" w:rsidR="00DE591A" w:rsidRDefault="00DE591A" w:rsidP="00DE591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Koszty wody zużytej na roboty budowlane, wynikający z umów remontowych;</w:t>
      </w:r>
    </w:p>
    <w:p w14:paraId="1C7759DC" w14:textId="77777777" w:rsidR="00DE591A" w:rsidRDefault="00DE591A" w:rsidP="00DE591A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Koszt wody wynikający z awarii wewnętrznej instalacji wodno-kanalizacyjnej budynku, z wyłączeniem awarii na instalacji lokalowej.</w:t>
      </w:r>
    </w:p>
    <w:p w14:paraId="29BF0365" w14:textId="77777777" w:rsidR="00DE591A" w:rsidRPr="00AC1F12" w:rsidRDefault="00DE591A" w:rsidP="00DE591A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Dla budynków, gdzie żaden lokal nie posiada wodomierza lokalowego ilość zużytej wody ustala się wg wskazań wodomierza głównego oraz ilości osób zamieszkałych/zatrudnionych w poszczególnych lokalach.</w:t>
      </w:r>
    </w:p>
    <w:p w14:paraId="1FF2158E" w14:textId="77777777" w:rsidR="00DE591A" w:rsidRPr="00AC1F12" w:rsidRDefault="00DE591A" w:rsidP="00DE591A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Dla budynków, w których część lokali wyposażona jest w wodomierz rozliczenie odbywa się w dwóch etapach:</w:t>
      </w:r>
    </w:p>
    <w:p w14:paraId="2531B697" w14:textId="77777777" w:rsidR="00DE591A" w:rsidRPr="00AC1F12" w:rsidRDefault="00DE591A" w:rsidP="00DE591A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AC1F12">
        <w:rPr>
          <w:rFonts w:asciiTheme="majorHAnsi" w:hAnsiTheme="majorHAnsi" w:cstheme="majorHAnsi"/>
          <w:sz w:val="24"/>
          <w:szCs w:val="24"/>
        </w:rPr>
        <w:t>Pierwszy etap to rozliczenie prognoz wg wskazań wodomierzy lokalowych.</w:t>
      </w:r>
    </w:p>
    <w:p w14:paraId="7F3675B3" w14:textId="77777777" w:rsidR="00DE591A" w:rsidRDefault="00DE591A" w:rsidP="00DE591A">
      <w:pPr>
        <w:pStyle w:val="Akapitzlist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etap to rozliczenie różnicy pomiędzy wskazaniami wodomierza głównego a sumą wskazań wodomierzy lokalowych i zastosowanymi normami w przypadku lokali nieopomiarowanych.</w:t>
      </w:r>
    </w:p>
    <w:p w14:paraId="674E52BB" w14:textId="77777777" w:rsidR="00DE591A" w:rsidRDefault="00DE591A" w:rsidP="00DE591A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suma wskazań wodomierzy lokalowych i zużycia według normy na osobę jest mniejsza od wskazań wodomierza głównego - różnica zostaje rozliczona proporcjonalnie do wskazania wodomierza lokalowego i normy zużycia na osobę.</w:t>
      </w:r>
    </w:p>
    <w:p w14:paraId="42C8AFC4" w14:textId="77777777" w:rsidR="00DE591A" w:rsidRDefault="00DE591A" w:rsidP="00DE591A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Jeżeli suma wskazań wodomierzy lokalowych i zużycia według normy na osobę jest większa od wskazań wodomierza głównego – zużycie dla lokalu opomiarowanego jest równe wskazaniom wodomierza lokalowego, a różnica pomiędzy wskazaniem wodomierza głównego i sumą wskazań wodomierzy lokalowych jest dzielona na ilość osób zamieszkałych/zatrudnionych w lokalach nieopomiarowanych.</w:t>
      </w:r>
    </w:p>
    <w:p w14:paraId="280BD842" w14:textId="77777777" w:rsidR="00DE591A" w:rsidRDefault="00DE591A" w:rsidP="00DE591A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Dla budynków, gdzie wszystkie lokale zostały wyposażone w wodomierze lokalowe rozliczenie odbywa się w dwóch etapach:</w:t>
      </w:r>
    </w:p>
    <w:p w14:paraId="69741E96" w14:textId="77777777" w:rsidR="00DE591A" w:rsidRDefault="00DE591A" w:rsidP="00DE591A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Pierwszy etap to rozliczenie prognoz wg wskazań wodomierzy lokalowych.</w:t>
      </w:r>
    </w:p>
    <w:p w14:paraId="26C64CB1" w14:textId="77777777" w:rsidR="00DE591A" w:rsidRDefault="00DE591A" w:rsidP="00DE591A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Drugi etap to rozliczenie różnicy pomiędzy wskazaniami wodomierza głównego a sumą wskazań wodomierzy lokalowych.</w:t>
      </w:r>
    </w:p>
    <w:p w14:paraId="2078E0DE" w14:textId="77777777" w:rsidR="00DE591A" w:rsidRDefault="00DE591A" w:rsidP="00DE591A">
      <w:pPr>
        <w:pStyle w:val="Akapitzlist"/>
        <w:spacing w:line="360" w:lineRule="auto"/>
        <w:ind w:left="14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Różnica zostaje rozliczona proporcjonalnie do wskazań wodomierzy indywidualnych. Jeżeli różnica jest mniejsza niż 5% wskazania wodomierza głównego (w zależności od ilości lokali znajdujących się w budynku), to podlega ona rozliczeniu w następnym okresie rozliczeniowym.</w:t>
      </w:r>
    </w:p>
    <w:p w14:paraId="585771D3" w14:textId="77777777" w:rsidR="00DE591A" w:rsidRPr="00AD19C9" w:rsidRDefault="00DE591A" w:rsidP="00DE591A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Szczegółowe zasady rozliczania kosztów dostawy wody i odprowadzania ścieków dla użytkowników lokali użytkowych zawiera zatwierdzony Zarządzeniem Nr 2/2024 Zarządu Towarzystwa Budownictwa Społecznego Spółka z o.o. w Piotrkowie Trybunalskim z dnia 30.01.2024 r. „Regulamin określający zasady rozliczania kosztów dostawy wody i odprowadzania ścieków w budynkach stanowiących własność Towarzystwa Budownictwa Społecznego Spółka z o.o. w Piotrkowie Trybunalskim, Aleja 3 Maja 31 i w budynkach zarządzanych oraz dzierżawionych przez TBS Spółka z o.o.</w:t>
      </w:r>
    </w:p>
    <w:p w14:paraId="2DB688F1" w14:textId="77777777" w:rsidR="00DE591A" w:rsidRPr="00A42B10" w:rsidRDefault="00DE591A" w:rsidP="00DE591A">
      <w:pPr>
        <w:spacing w:line="360" w:lineRule="auto"/>
        <w:ind w:left="360"/>
        <w:rPr>
          <w:rFonts w:asciiTheme="majorHAnsi" w:hAnsiTheme="majorHAnsi" w:cstheme="majorHAnsi"/>
          <w:sz w:val="24"/>
          <w:szCs w:val="24"/>
        </w:rPr>
      </w:pPr>
      <w:r w:rsidRPr="00A42B10">
        <w:rPr>
          <w:rFonts w:asciiTheme="majorHAnsi" w:hAnsiTheme="majorHAnsi" w:cstheme="majorHAnsi"/>
          <w:sz w:val="24"/>
          <w:szCs w:val="24"/>
        </w:rPr>
        <w:t>Opłaty niezależne od właściciela Najemca jest obowiązany uiszczać miesięcznie z góry bez uprzedniego wezwania w terminie do dnia 10 każdego miesiąca kalendarzowego, za który przypada należność począwszy od dnia..............roku</w:t>
      </w:r>
    </w:p>
    <w:p w14:paraId="4EB03E7F" w14:textId="77777777" w:rsidR="00DE591A" w:rsidRPr="000375FD" w:rsidRDefault="00DE591A" w:rsidP="00DE591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389F131E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17"/>
    <w:multiLevelType w:val="hybridMultilevel"/>
    <w:tmpl w:val="1C08A85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45093C"/>
    <w:multiLevelType w:val="hybridMultilevel"/>
    <w:tmpl w:val="47CA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15B"/>
    <w:multiLevelType w:val="hybridMultilevel"/>
    <w:tmpl w:val="E51AC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361D"/>
    <w:multiLevelType w:val="hybridMultilevel"/>
    <w:tmpl w:val="E8F81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30E8"/>
    <w:multiLevelType w:val="hybridMultilevel"/>
    <w:tmpl w:val="4D647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7D4EB9"/>
    <w:multiLevelType w:val="hybridMultilevel"/>
    <w:tmpl w:val="BA06EA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D22962"/>
    <w:multiLevelType w:val="hybridMultilevel"/>
    <w:tmpl w:val="81F628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131999">
    <w:abstractNumId w:val="4"/>
  </w:num>
  <w:num w:numId="2" w16cid:durableId="1890265467">
    <w:abstractNumId w:val="1"/>
  </w:num>
  <w:num w:numId="3" w16cid:durableId="183444295">
    <w:abstractNumId w:val="2"/>
  </w:num>
  <w:num w:numId="4" w16cid:durableId="923487920">
    <w:abstractNumId w:val="7"/>
  </w:num>
  <w:num w:numId="5" w16cid:durableId="122891693">
    <w:abstractNumId w:val="0"/>
  </w:num>
  <w:num w:numId="6" w16cid:durableId="406272319">
    <w:abstractNumId w:val="5"/>
  </w:num>
  <w:num w:numId="7" w16cid:durableId="612708559">
    <w:abstractNumId w:val="3"/>
  </w:num>
  <w:num w:numId="8" w16cid:durableId="454249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6D"/>
    <w:rsid w:val="0015314E"/>
    <w:rsid w:val="00184DF0"/>
    <w:rsid w:val="00254269"/>
    <w:rsid w:val="00436B8C"/>
    <w:rsid w:val="00500D76"/>
    <w:rsid w:val="005416B1"/>
    <w:rsid w:val="006A3379"/>
    <w:rsid w:val="008F74CD"/>
    <w:rsid w:val="00AC146D"/>
    <w:rsid w:val="00AE7391"/>
    <w:rsid w:val="00B91CEB"/>
    <w:rsid w:val="00C55407"/>
    <w:rsid w:val="00C773C1"/>
    <w:rsid w:val="00D916E3"/>
    <w:rsid w:val="00D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E1135-9361-498E-80D0-BEE5BD5C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91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1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4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4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4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4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4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4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C1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4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4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4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4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4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4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4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4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4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4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4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4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Zalacznik_Numer_1_do_umowy_najmu</dc:title>
  <dc:subject/>
  <dc:creator>Hanna Komar</dc:creator>
  <cp:keywords/>
  <dc:description/>
  <cp:lastModifiedBy>Hanna Komar</cp:lastModifiedBy>
  <cp:revision>3</cp:revision>
  <dcterms:created xsi:type="dcterms:W3CDTF">2025-03-05T09:32:00Z</dcterms:created>
  <dcterms:modified xsi:type="dcterms:W3CDTF">2025-03-05T09:34:00Z</dcterms:modified>
</cp:coreProperties>
</file>