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76D8" w14:textId="77777777" w:rsidR="007B7F2B" w:rsidRPr="00D73AAD" w:rsidRDefault="007B7F2B" w:rsidP="007B7F2B">
      <w:pPr>
        <w:spacing w:before="6240"/>
        <w:rPr>
          <w:rFonts w:asciiTheme="majorHAnsi" w:hAnsiTheme="majorHAnsi" w:cstheme="majorHAnsi"/>
          <w:sz w:val="24"/>
          <w:szCs w:val="24"/>
        </w:rPr>
      </w:pPr>
      <w:bookmarkStart w:id="0" w:name="_Hlk188349458"/>
      <w:r w:rsidRPr="00D73AAD">
        <w:rPr>
          <w:rFonts w:asciiTheme="majorHAnsi" w:hAnsiTheme="majorHAnsi" w:cstheme="majorHAnsi"/>
          <w:sz w:val="24"/>
          <w:szCs w:val="24"/>
        </w:rPr>
        <w:t>Załącznik Numer 1 do umowy najmu lokalu użytkowego położonego przy ulicy ……………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 w Piotrkowie Trybunalskim zawartej w dniu …............ roku</w:t>
      </w:r>
    </w:p>
    <w:p w14:paraId="2D71F484" w14:textId="77777777" w:rsidR="007B7F2B" w:rsidRPr="00D73AAD" w:rsidRDefault="007B7F2B" w:rsidP="007B7F2B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Zgodnie z § 2 ustęp 3 umowy najmu Najemca oprócz czynszu jest zobowiązany uiszczać miesięcznie Wynajmującemu za opłaty niezależne od właściciela w następującej wysokości:</w:t>
      </w:r>
    </w:p>
    <w:p w14:paraId="07BE40B3" w14:textId="77777777" w:rsidR="007B7F2B" w:rsidRPr="00D73AAD" w:rsidRDefault="007B7F2B" w:rsidP="007B7F2B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zimna woda: 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 zł/m3,</w:t>
      </w:r>
    </w:p>
    <w:p w14:paraId="28C4D737" w14:textId="77777777" w:rsidR="007B7F2B" w:rsidRPr="00D73AAD" w:rsidRDefault="007B7F2B" w:rsidP="007B7F2B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odprowadzenie ścieków: 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 zł/m3.</w:t>
      </w:r>
    </w:p>
    <w:p w14:paraId="228117B3" w14:textId="77777777" w:rsidR="007B7F2B" w:rsidRPr="00D73AAD" w:rsidRDefault="007B7F2B" w:rsidP="007B7F2B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Zgodnie z Regulaminem rozliczania kosztów dostawy wody i odprowadzania ścieków dla najemców lokali użytkowych obowiązują niżej wymienione zasady:</w:t>
      </w:r>
    </w:p>
    <w:p w14:paraId="4D76E2C7" w14:textId="77777777" w:rsidR="007B7F2B" w:rsidRPr="00D73AAD" w:rsidRDefault="007B7F2B" w:rsidP="007B7F2B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Koszty dostawy wody i odprowadzania ścieków dla nieruchomości wynikają z faktur obciążeniowych dostawcy wody na podstawie ilości dostarczanej wody i taryf określających ceny i stawki opłat.</w:t>
      </w:r>
    </w:p>
    <w:p w14:paraId="64E6C156" w14:textId="77777777" w:rsidR="007B7F2B" w:rsidRPr="00D73AAD" w:rsidRDefault="007B7F2B" w:rsidP="007B7F2B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Ilość wody dostarczonej do nieruchomości ustalana jest na podstawie odczytu wskazań wodomierzy głównych zainstalowanych na przyłączach.</w:t>
      </w:r>
    </w:p>
    <w:p w14:paraId="0393E04E" w14:textId="77777777" w:rsidR="007B7F2B" w:rsidRPr="00D73AAD" w:rsidRDefault="007B7F2B" w:rsidP="007B7F2B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lokalach wyposażonych w instalację ściekową, zgodnie z zasadą przyjętą przez dostawców wody, ilość odprowadzonych ścieków równa jest ilości dostarczanej wody.</w:t>
      </w:r>
    </w:p>
    <w:p w14:paraId="5B10BE91" w14:textId="77777777" w:rsidR="007B7F2B" w:rsidRPr="00D73AAD" w:rsidRDefault="007B7F2B" w:rsidP="007B7F2B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 poczet kosztów dostawy wody i odprowadzania ścieków użytkownicy lokali winni wnosić miesięczne zaliczki w terminach opłat czynszowych wg następujących zasad:</w:t>
      </w:r>
    </w:p>
    <w:p w14:paraId="2C6B9D4A" w14:textId="77777777" w:rsidR="007B7F2B" w:rsidRPr="00D73AAD" w:rsidRDefault="007B7F2B" w:rsidP="007B7F2B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lokalach opomiarowanych wysokość opłat zaliczkowych na dany lokal wynika ze średniego zużycia wody w poprzednim okresie rozliczeniowych oraz ceny jednostkowej wody i kanalizacji zgodnie z taryfą.</w:t>
      </w:r>
    </w:p>
    <w:p w14:paraId="377DE6D7" w14:textId="77777777" w:rsidR="007B7F2B" w:rsidRPr="00D73AAD" w:rsidRDefault="007B7F2B" w:rsidP="007B7F2B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lokalach nieopomiarowanych wysokość opłat wynika z ceny jednostkowej wody i kanalizacji, ilości osób zatrudnionych w danym lokalu oraz przyjętej normy miesięcznego zużycia dla budynku, tj. 4,5 m</w:t>
      </w:r>
      <w:r w:rsidRPr="00D73AAD">
        <w:rPr>
          <w:rFonts w:asciiTheme="majorHAnsi" w:hAnsiTheme="majorHAnsi" w:cstheme="majorHAnsi"/>
          <w:sz w:val="24"/>
          <w:szCs w:val="24"/>
          <w:vertAlign w:val="superscript"/>
        </w:rPr>
        <w:t>3</w:t>
      </w:r>
      <w:r w:rsidRPr="00D73AAD">
        <w:rPr>
          <w:rFonts w:asciiTheme="majorHAnsi" w:hAnsiTheme="majorHAnsi" w:cstheme="majorHAnsi"/>
          <w:sz w:val="24"/>
          <w:szCs w:val="24"/>
        </w:rPr>
        <w:t>/osobę miesięcznie.</w:t>
      </w:r>
    </w:p>
    <w:p w14:paraId="740DA077" w14:textId="77777777" w:rsidR="007B7F2B" w:rsidRPr="00D73AAD" w:rsidRDefault="007B7F2B" w:rsidP="007B7F2B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Zarząd Spółki ma prawo zastosowania innej normy miesięcznego zużycia wody.</w:t>
      </w:r>
    </w:p>
    <w:p w14:paraId="49D1F7AE" w14:textId="77777777" w:rsidR="007B7F2B" w:rsidRPr="00D73AAD" w:rsidRDefault="007B7F2B" w:rsidP="007B7F2B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Rozliczenie naliczonych zaliczek następuje na koniec okresu rozliczeniowego, nie później niż na dzień 30 czerwca i 31 grudnia.</w:t>
      </w:r>
    </w:p>
    <w:p w14:paraId="1717B132" w14:textId="77777777" w:rsidR="007B7F2B" w:rsidRPr="00D73AAD" w:rsidRDefault="007B7F2B" w:rsidP="007B7F2B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przypadku lokali nieopomiarowanych, gdzie wysokość opłat za zużycie wody uzależniona jest od ilości osób zatrudnionych – najemca ma obowiązek niezwłocznego zgłaszania do administracji zmiany ilości osób w zajmowanym lokalu.</w:t>
      </w:r>
    </w:p>
    <w:p w14:paraId="02F57C9F" w14:textId="77777777" w:rsidR="007B7F2B" w:rsidRPr="00D73AAD" w:rsidRDefault="007B7F2B" w:rsidP="007B7F2B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Wynikowe rozliczenie kosztów dokonywane jest na podstawie faktur obciążeniowych dostawcy wody zgodnie ze wskazaniami wodomierzy głównych na przyłączach, pomniejszone o następujące koszty:</w:t>
      </w:r>
    </w:p>
    <w:p w14:paraId="1EBA8EBE" w14:textId="77777777" w:rsidR="007B7F2B" w:rsidRPr="00D73AAD" w:rsidRDefault="007B7F2B" w:rsidP="007B7F2B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Koszt wody zużytej na cele porządkowe;</w:t>
      </w:r>
    </w:p>
    <w:p w14:paraId="7602E497" w14:textId="77777777" w:rsidR="007B7F2B" w:rsidRPr="00D73AAD" w:rsidRDefault="007B7F2B" w:rsidP="007B7F2B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Koszty wody zużytej na roboty budowlane, wynikający z umów remontowych;</w:t>
      </w:r>
    </w:p>
    <w:p w14:paraId="68087654" w14:textId="77777777" w:rsidR="007B7F2B" w:rsidRPr="00D73AAD" w:rsidRDefault="007B7F2B" w:rsidP="007B7F2B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Koszt wody wynikający z awarii wewnętrznej instalacji wodno-kanalizacyjnej budynku, z wyłączeniem awarii na instalacji lokalowej.</w:t>
      </w:r>
    </w:p>
    <w:p w14:paraId="27B06FED" w14:textId="77777777" w:rsidR="007B7F2B" w:rsidRPr="00D73AAD" w:rsidRDefault="007B7F2B" w:rsidP="007B7F2B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Dla budynków, gdzie żaden lokal nie posiada wodomierza lokalowego ilość zużytej wody ustala się wg wskazań wodomierza głównego oraz ilości osób zamieszkałych/zatrudnionych w poszczególnych lokalach.</w:t>
      </w:r>
    </w:p>
    <w:p w14:paraId="36C290CB" w14:textId="77777777" w:rsidR="007B7F2B" w:rsidRPr="00D73AAD" w:rsidRDefault="007B7F2B" w:rsidP="007B7F2B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Dla budynków, w których część lokali wyposażona jest w wodomierz rozliczenie odbywa się w dwóch etapach:</w:t>
      </w:r>
    </w:p>
    <w:p w14:paraId="61399057" w14:textId="77777777" w:rsidR="007B7F2B" w:rsidRPr="00D73AAD" w:rsidRDefault="007B7F2B" w:rsidP="007B7F2B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Pierwszy etap to rozliczenie prognoz wg wskazań wodomierzy lokalowych.</w:t>
      </w:r>
    </w:p>
    <w:p w14:paraId="78633637" w14:textId="77777777" w:rsidR="007B7F2B" w:rsidRPr="00D73AAD" w:rsidRDefault="007B7F2B" w:rsidP="007B7F2B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Drugi etap to rozliczenie różnicy pomiędzy wskazaniami wodomierza głównego a sumą wskazań wodomierzy lokalowych i zastosowanymi normami w przypadku lokali nieopomiarowanych.</w:t>
      </w:r>
    </w:p>
    <w:p w14:paraId="1123C94E" w14:textId="77777777" w:rsidR="007B7F2B" w:rsidRPr="00D73AAD" w:rsidRDefault="007B7F2B" w:rsidP="007B7F2B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Jeżeli suma wskazań wodomierzy lokalowych i zużycia według normy na osobę jest mniejsza od wskazań wodomierza głównego - różnica zostaje rozliczona proporcjonalnie do wskazania wodomierza lokalowego i normy zużycia na osobę.</w:t>
      </w:r>
    </w:p>
    <w:p w14:paraId="24EE696A" w14:textId="77777777" w:rsidR="007B7F2B" w:rsidRPr="00D73AAD" w:rsidRDefault="007B7F2B" w:rsidP="007B7F2B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Jeżeli suma wskazań wodomierzy lokalowych i zużycia według normy na osobę jest większa od wskazań wodomierza głównego – zużycie dla lokalu opomiarowanego jest równe wskazaniom wodomierza lokalowego, a różnica pomiędzy wskazaniem wodomierza głównego i sumą wskazań wodomierzy lokalowych jest dzielona na ilość osób zamieszkałych/zatrudnionych w lokalach nieopomiarowanych.</w:t>
      </w:r>
    </w:p>
    <w:p w14:paraId="694EC433" w14:textId="77777777" w:rsidR="007B7F2B" w:rsidRPr="00D73AAD" w:rsidRDefault="007B7F2B" w:rsidP="007B7F2B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Dla budynków, gdzie wszystkie lokale zostały wyposażone w wodomierze lokalowe rozliczenie odbywa się w dwóch etapach:</w:t>
      </w:r>
    </w:p>
    <w:p w14:paraId="0DC9B751" w14:textId="77777777" w:rsidR="007B7F2B" w:rsidRPr="00D73AAD" w:rsidRDefault="007B7F2B" w:rsidP="007B7F2B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Pierwszy etap to rozliczenie prognoz wg wskazań wodomierzy lokalowych.</w:t>
      </w:r>
    </w:p>
    <w:p w14:paraId="0E8A494A" w14:textId="77777777" w:rsidR="007B7F2B" w:rsidRPr="00D73AAD" w:rsidRDefault="007B7F2B" w:rsidP="007B7F2B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Drugi etap to rozliczenie różnicy pomiędzy wskazaniami wodomierza głównego a sumą wskazań wodomierzy lokalowych.</w:t>
      </w:r>
    </w:p>
    <w:p w14:paraId="6A2A4B76" w14:textId="77777777" w:rsidR="007B7F2B" w:rsidRPr="00D73AAD" w:rsidRDefault="007B7F2B" w:rsidP="007B7F2B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Różnica zostaje rozliczona proporcjonalnie do wskazań wodomierzy indywidualnych. Jeżeli różnica jest mniejsza niż 5% wskazania wodomierza głównego (w zależności od ilości lokali znajdujących się w budynku), to podlega ona rozliczeniu w następnym okresie rozliczeniowym.</w:t>
      </w:r>
    </w:p>
    <w:p w14:paraId="739DD4D1" w14:textId="77777777" w:rsidR="007B7F2B" w:rsidRPr="00D73AAD" w:rsidRDefault="007B7F2B" w:rsidP="007B7F2B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 xml:space="preserve">Szczegółowe zasady rozliczania kosztów dostawy wody i odprowadzania ścieków dla użytkowników lokali użytkowych zawiera zatwierdzony Zarządzeniem Nr 2/2024 Zarządu Towarzystwa Budownictwa Społecznego Spółka z o.o. w Piotrkowie Trybunalskim z dnia 30.01.2024 r. „Regulamin określający zasady rozliczania kosztów </w:t>
      </w:r>
      <w:r w:rsidRPr="00D73AAD">
        <w:rPr>
          <w:rFonts w:asciiTheme="majorHAnsi" w:hAnsiTheme="majorHAnsi" w:cstheme="majorHAnsi"/>
          <w:sz w:val="24"/>
          <w:szCs w:val="24"/>
        </w:rPr>
        <w:lastRenderedPageBreak/>
        <w:t>dostawy wody i odprowadzania ścieków w budynkach stanowiących własność Towarzystwa Budownictwa Społecznego Spółka z o.o. w Piotrkowie Trybunalskim, Aleja 3 Maja 31 i w budynkach zarządzanych oraz dzierżawionych przez TBS Spółka z o.o.</w:t>
      </w:r>
    </w:p>
    <w:p w14:paraId="08FA45CC" w14:textId="77777777" w:rsidR="007B7F2B" w:rsidRPr="00D73AAD" w:rsidRDefault="007B7F2B" w:rsidP="007B7F2B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Opłaty niezależne od właściciela Najemca jest obowiązany uiszczać miesięcznie z góry bez uprzedniego wezwania w terminie do dnia 10 każdego miesiąca kalendarzowego, za który przypada należność począwszy od dnia..............roku</w:t>
      </w:r>
    </w:p>
    <w:p w14:paraId="04545DEF" w14:textId="77777777" w:rsidR="007B7F2B" w:rsidRPr="00D73AAD" w:rsidRDefault="007B7F2B" w:rsidP="007B7F2B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Wynajmujący:</w:t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  <w:t>Najemca:</w:t>
      </w:r>
    </w:p>
    <w:bookmarkEnd w:id="0"/>
    <w:p w14:paraId="74EC95B7" w14:textId="77777777" w:rsidR="00D916E3" w:rsidRDefault="00D916E3"/>
    <w:sectPr w:rsidR="00D91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617"/>
    <w:multiLevelType w:val="hybridMultilevel"/>
    <w:tmpl w:val="1C08A85C"/>
    <w:lvl w:ilvl="0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745093C"/>
    <w:multiLevelType w:val="hybridMultilevel"/>
    <w:tmpl w:val="47CA8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2215B"/>
    <w:multiLevelType w:val="hybridMultilevel"/>
    <w:tmpl w:val="E51AC3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0361D"/>
    <w:multiLevelType w:val="hybridMultilevel"/>
    <w:tmpl w:val="E8F81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17300"/>
    <w:multiLevelType w:val="hybridMultilevel"/>
    <w:tmpl w:val="0C2A0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F30E8"/>
    <w:multiLevelType w:val="hybridMultilevel"/>
    <w:tmpl w:val="4D647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7D4EB9"/>
    <w:multiLevelType w:val="hybridMultilevel"/>
    <w:tmpl w:val="BA06EA4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D22962"/>
    <w:multiLevelType w:val="hybridMultilevel"/>
    <w:tmpl w:val="81F628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4026760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7822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07213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8905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299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4739058">
    <w:abstractNumId w:val="0"/>
  </w:num>
  <w:num w:numId="7" w16cid:durableId="81411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9656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F0"/>
    <w:rsid w:val="000275ED"/>
    <w:rsid w:val="0015314E"/>
    <w:rsid w:val="00184DF0"/>
    <w:rsid w:val="00254269"/>
    <w:rsid w:val="00277FC4"/>
    <w:rsid w:val="00280B68"/>
    <w:rsid w:val="003570AF"/>
    <w:rsid w:val="003819F0"/>
    <w:rsid w:val="00436B8C"/>
    <w:rsid w:val="00500D76"/>
    <w:rsid w:val="005416B1"/>
    <w:rsid w:val="00573564"/>
    <w:rsid w:val="005873AC"/>
    <w:rsid w:val="007B7F2B"/>
    <w:rsid w:val="009F2F6B"/>
    <w:rsid w:val="00AE7391"/>
    <w:rsid w:val="00B91CEB"/>
    <w:rsid w:val="00BF3D9E"/>
    <w:rsid w:val="00C524B9"/>
    <w:rsid w:val="00C55407"/>
    <w:rsid w:val="00C773C1"/>
    <w:rsid w:val="00D869FC"/>
    <w:rsid w:val="00D916E3"/>
    <w:rsid w:val="00DC2221"/>
    <w:rsid w:val="00EC548B"/>
    <w:rsid w:val="00F5376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23E07-EEE0-4DB0-A172-7347B397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F2B"/>
  </w:style>
  <w:style w:type="paragraph" w:styleId="Nagwek1">
    <w:name w:val="heading 1"/>
    <w:basedOn w:val="Normalny"/>
    <w:next w:val="Normalny"/>
    <w:link w:val="Nagwek1Znak"/>
    <w:uiPriority w:val="9"/>
    <w:qFormat/>
    <w:rsid w:val="00381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1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19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1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19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1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1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1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1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1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1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19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19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19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19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19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19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19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1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1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1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1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1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19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19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19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1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19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19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Zalacznik_Numer_1_do_umowy_najmu</dc:title>
  <dc:subject/>
  <dc:creator>Hanna Komar</dc:creator>
  <cp:keywords/>
  <dc:description/>
  <cp:lastModifiedBy>Hanna Komar</cp:lastModifiedBy>
  <cp:revision>3</cp:revision>
  <dcterms:created xsi:type="dcterms:W3CDTF">2026-07-31T09:50:00Z</dcterms:created>
  <dcterms:modified xsi:type="dcterms:W3CDTF">2026-07-31T09:51:00Z</dcterms:modified>
</cp:coreProperties>
</file>