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F4F67" w14:textId="77777777" w:rsidR="00D659F4" w:rsidRPr="000C4D7D" w:rsidRDefault="00D659F4" w:rsidP="000C4D7D">
      <w:pPr>
        <w:pStyle w:val="Nagwek1"/>
        <w:spacing w:after="180"/>
        <w:rPr>
          <w:rFonts w:ascii="Times New Roman" w:hAnsi="Times New Roman" w:cs="Times New Roman"/>
          <w:sz w:val="24"/>
          <w:szCs w:val="24"/>
        </w:rPr>
      </w:pPr>
      <w:r w:rsidRPr="000C4D7D">
        <w:t>OGŁOSZENIE</w:t>
      </w:r>
    </w:p>
    <w:p w14:paraId="1C062A0A" w14:textId="17D6D373" w:rsidR="00AA5FB0" w:rsidRPr="000C4D7D" w:rsidRDefault="00D659F4" w:rsidP="000C4D7D">
      <w:pPr>
        <w:spacing w:after="240"/>
        <w:rPr>
          <w:rFonts w:ascii="Times New Roman" w:hAnsi="Times New Roman" w:cs="Times New Roman"/>
          <w:b/>
        </w:rPr>
      </w:pPr>
      <w:r w:rsidRPr="000C4D7D">
        <w:rPr>
          <w:b/>
        </w:rPr>
        <w:t xml:space="preserve">o przetargu ustnym nieograniczonym na sprzedaż nieruchomości gruntowej niezabudowanej położonej w Piotrkowie Trybunalskim przy ul. </w:t>
      </w:r>
      <w:r w:rsidR="000B6F53" w:rsidRPr="000C4D7D">
        <w:rPr>
          <w:b/>
        </w:rPr>
        <w:t>Wojska Polskiego 19 - 21</w:t>
      </w:r>
      <w:r w:rsidRPr="000C4D7D">
        <w:rPr>
          <w:b/>
        </w:rPr>
        <w:t>, stanowiącej własność Towarzystwa Budownictwa Społecznego Sp. z o.</w:t>
      </w:r>
      <w:r w:rsidR="00A23AFF" w:rsidRPr="000C4D7D">
        <w:rPr>
          <w:b/>
        </w:rPr>
        <w:t xml:space="preserve"> </w:t>
      </w:r>
      <w:r w:rsidRPr="000C4D7D">
        <w:rPr>
          <w:b/>
        </w:rPr>
        <w:t xml:space="preserve">o. w Piotrkowie Trybunalskim.  </w:t>
      </w:r>
    </w:p>
    <w:p w14:paraId="338792C8" w14:textId="05E34734" w:rsidR="00AA5FB0" w:rsidRPr="000C4D7D" w:rsidRDefault="00AA5FB0" w:rsidP="000C4D7D">
      <w:pPr>
        <w:pStyle w:val="Akapitzlist"/>
        <w:numPr>
          <w:ilvl w:val="0"/>
          <w:numId w:val="2"/>
        </w:numPr>
        <w:tabs>
          <w:tab w:val="left" w:pos="426"/>
        </w:tabs>
        <w:spacing w:after="120"/>
        <w:ind w:left="0" w:firstLine="0"/>
        <w:contextualSpacing w:val="0"/>
        <w:rPr>
          <w:rFonts w:ascii="Times New Roman" w:hAnsi="Times New Roman" w:cs="Times New Roman"/>
          <w:b/>
          <w:bCs/>
        </w:rPr>
      </w:pPr>
      <w:r w:rsidRPr="000C4D7D">
        <w:t xml:space="preserve">Przetarg odbędzie się w siedzibie TBS Sp. z o.o. </w:t>
      </w:r>
      <w:r w:rsidR="00CD288E">
        <w:t xml:space="preserve">w Piotrkowie Tryb. </w:t>
      </w:r>
      <w:r w:rsidRPr="000C4D7D">
        <w:t>przy ul. Al. 3 Maja 31 w</w:t>
      </w:r>
      <w:r w:rsidR="00CD288E">
        <w:t> </w:t>
      </w:r>
      <w:r w:rsidRPr="000C4D7D">
        <w:t xml:space="preserve">Piotrkowie Trybunalskim (świetlica) </w:t>
      </w:r>
      <w:r w:rsidRPr="000C4D7D">
        <w:rPr>
          <w:b/>
          <w:bCs/>
        </w:rPr>
        <w:t xml:space="preserve">w dniu </w:t>
      </w:r>
      <w:r w:rsidR="005309C3">
        <w:rPr>
          <w:b/>
          <w:bCs/>
        </w:rPr>
        <w:t>30</w:t>
      </w:r>
      <w:r w:rsidR="006E2A1D">
        <w:rPr>
          <w:b/>
          <w:bCs/>
        </w:rPr>
        <w:t>.0</w:t>
      </w:r>
      <w:r w:rsidR="005309C3">
        <w:rPr>
          <w:b/>
          <w:bCs/>
        </w:rPr>
        <w:t>9</w:t>
      </w:r>
      <w:r w:rsidR="006E2A1D">
        <w:rPr>
          <w:b/>
          <w:bCs/>
        </w:rPr>
        <w:t>.</w:t>
      </w:r>
      <w:r w:rsidR="000B6F53" w:rsidRPr="000C4D7D">
        <w:rPr>
          <w:b/>
          <w:bCs/>
        </w:rPr>
        <w:t xml:space="preserve">2026 </w:t>
      </w:r>
      <w:r w:rsidR="007A7842" w:rsidRPr="000C4D7D">
        <w:rPr>
          <w:b/>
          <w:bCs/>
        </w:rPr>
        <w:t xml:space="preserve">r. </w:t>
      </w:r>
      <w:r w:rsidRPr="000C4D7D">
        <w:rPr>
          <w:b/>
          <w:bCs/>
        </w:rPr>
        <w:t xml:space="preserve">o godzinie </w:t>
      </w:r>
      <w:r w:rsidR="007A7842" w:rsidRPr="000C4D7D">
        <w:rPr>
          <w:b/>
          <w:bCs/>
        </w:rPr>
        <w:t>11</w:t>
      </w:r>
      <w:r w:rsidR="007A7842" w:rsidRPr="000C4D7D">
        <w:rPr>
          <w:b/>
          <w:bCs/>
          <w:vertAlign w:val="superscript"/>
        </w:rPr>
        <w:t>00</w:t>
      </w:r>
      <w:r w:rsidR="007A7842" w:rsidRPr="000C4D7D">
        <w:rPr>
          <w:b/>
          <w:bCs/>
        </w:rPr>
        <w:t>.</w:t>
      </w:r>
    </w:p>
    <w:p w14:paraId="7316D1A1" w14:textId="0EBC5CB7" w:rsidR="00897B0C" w:rsidRPr="000C4D7D" w:rsidRDefault="00E93AA3" w:rsidP="000C4D7D">
      <w:pPr>
        <w:pStyle w:val="Akapitzlist"/>
        <w:numPr>
          <w:ilvl w:val="0"/>
          <w:numId w:val="2"/>
        </w:numPr>
        <w:tabs>
          <w:tab w:val="left" w:pos="426"/>
        </w:tabs>
        <w:spacing w:after="120"/>
        <w:ind w:left="0" w:firstLine="0"/>
        <w:contextualSpacing w:val="0"/>
        <w:rPr>
          <w:rFonts w:ascii="Times New Roman" w:hAnsi="Times New Roman" w:cs="Times New Roman"/>
        </w:rPr>
      </w:pPr>
      <w:r w:rsidRPr="000C4D7D">
        <w:t xml:space="preserve">Przedmiotem przetargu jest </w:t>
      </w:r>
      <w:r w:rsidR="00BD02CB" w:rsidRPr="000C4D7D">
        <w:t>niezabudowana nieruchomość oznaczona nr ewidencyjnymi działek 19 i 20/1, o łącznej powierzchni 0,3269 ha (3269 m</w:t>
      </w:r>
      <w:r w:rsidR="00BD02CB" w:rsidRPr="000C4D7D">
        <w:rPr>
          <w:vertAlign w:val="superscript"/>
        </w:rPr>
        <w:t>2</w:t>
      </w:r>
      <w:r w:rsidR="00BD02CB" w:rsidRPr="000C4D7D">
        <w:t>), w obr. 21, położona w Piotrkowie Tryb. przy ul.  Wojska Polskiego 19 - 21, znajdująca się w niedalekiej odległości m.in. od Zamku Królewskiego w Piotrkowie Trybunalskim, Rynku Starego Miasta, czy Mediateki, w bezpośrednim sąsiedztwie zabudowy mieszkaniowej wielorodzinnej, terenów niezabudowanych oraz terenu rzeczki Strawy. Nieruchomość nieogrodzona, posiadająca dostęp do sieci uzbrojenia technicznego miejskiego</w:t>
      </w:r>
      <w:r w:rsidRPr="000C4D7D">
        <w:rPr>
          <w:i/>
          <w:iCs/>
        </w:rPr>
        <w:t>.</w:t>
      </w:r>
    </w:p>
    <w:p w14:paraId="1B707585" w14:textId="29EF3757" w:rsidR="007457C1" w:rsidRPr="000C4D7D" w:rsidRDefault="00897B0C" w:rsidP="000C4D7D">
      <w:pPr>
        <w:pStyle w:val="Akapitzlist"/>
        <w:numPr>
          <w:ilvl w:val="0"/>
          <w:numId w:val="2"/>
        </w:numPr>
        <w:tabs>
          <w:tab w:val="left" w:pos="426"/>
        </w:tabs>
        <w:spacing w:after="120"/>
        <w:ind w:left="0" w:firstLine="0"/>
        <w:contextualSpacing w:val="0"/>
        <w:rPr>
          <w:rFonts w:ascii="Times New Roman" w:hAnsi="Times New Roman" w:cs="Times New Roman"/>
        </w:rPr>
      </w:pPr>
      <w:r w:rsidRPr="000C4D7D">
        <w:rPr>
          <w:iCs/>
        </w:rPr>
        <w:t xml:space="preserve">Cena wywoławcza nieruchomości wynosi </w:t>
      </w:r>
      <w:r w:rsidR="000B6F53" w:rsidRPr="000C4D7D">
        <w:rPr>
          <w:b/>
          <w:iCs/>
        </w:rPr>
        <w:t>1.891.149</w:t>
      </w:r>
      <w:r w:rsidRPr="000C4D7D">
        <w:rPr>
          <w:b/>
          <w:iCs/>
        </w:rPr>
        <w:t>,00 zł</w:t>
      </w:r>
      <w:r w:rsidR="0061493C" w:rsidRPr="000C4D7D">
        <w:rPr>
          <w:b/>
          <w:iCs/>
        </w:rPr>
        <w:t xml:space="preserve"> </w:t>
      </w:r>
      <w:r w:rsidR="0061493C" w:rsidRPr="000C4D7D">
        <w:rPr>
          <w:bCs/>
          <w:iCs/>
        </w:rPr>
        <w:t>(jeden milion osiemset dziewięćdziesiąt jeden tysięcy sto czterdzieści dziewięć złotych)</w:t>
      </w:r>
      <w:r w:rsidRPr="000C4D7D">
        <w:rPr>
          <w:b/>
          <w:iCs/>
        </w:rPr>
        <w:t xml:space="preserve">. </w:t>
      </w:r>
      <w:r w:rsidR="006E2A1D" w:rsidRPr="006E2A1D">
        <w:rPr>
          <w:bCs/>
          <w:iCs/>
        </w:rPr>
        <w:t>C</w:t>
      </w:r>
      <w:r w:rsidR="007457C1" w:rsidRPr="000C4D7D">
        <w:rPr>
          <w:iCs/>
        </w:rPr>
        <w:t xml:space="preserve">ena </w:t>
      </w:r>
      <w:r w:rsidR="00E529AE" w:rsidRPr="000C4D7D">
        <w:rPr>
          <w:iCs/>
        </w:rPr>
        <w:t xml:space="preserve">nie </w:t>
      </w:r>
      <w:r w:rsidR="007457C1" w:rsidRPr="000C4D7D">
        <w:rPr>
          <w:iCs/>
        </w:rPr>
        <w:t>zawiera podat</w:t>
      </w:r>
      <w:r w:rsidR="00E529AE" w:rsidRPr="000C4D7D">
        <w:rPr>
          <w:iCs/>
        </w:rPr>
        <w:t xml:space="preserve">ku </w:t>
      </w:r>
      <w:r w:rsidR="007457C1" w:rsidRPr="000C4D7D">
        <w:rPr>
          <w:iCs/>
        </w:rPr>
        <w:t>VAT</w:t>
      </w:r>
      <w:r w:rsidR="00E529AE" w:rsidRPr="000C4D7D">
        <w:rPr>
          <w:iCs/>
        </w:rPr>
        <w:t>.</w:t>
      </w:r>
      <w:r w:rsidR="007457C1" w:rsidRPr="000C4D7D">
        <w:rPr>
          <w:iCs/>
        </w:rPr>
        <w:t xml:space="preserve"> </w:t>
      </w:r>
    </w:p>
    <w:p w14:paraId="4459348D" w14:textId="5704CE40" w:rsidR="008B7445" w:rsidRPr="000C4D7D" w:rsidRDefault="00E93AA3" w:rsidP="000C4D7D">
      <w:pPr>
        <w:pStyle w:val="Akapitzlist"/>
        <w:numPr>
          <w:ilvl w:val="0"/>
          <w:numId w:val="2"/>
        </w:numPr>
        <w:tabs>
          <w:tab w:val="left" w:pos="426"/>
        </w:tabs>
        <w:spacing w:after="120"/>
        <w:ind w:left="0" w:firstLine="0"/>
        <w:contextualSpacing w:val="0"/>
        <w:rPr>
          <w:rFonts w:ascii="Times New Roman" w:hAnsi="Times New Roman" w:cs="Times New Roman"/>
        </w:rPr>
      </w:pPr>
      <w:r w:rsidRPr="000C4D7D">
        <w:t>Nieruchomość jest własnością Towarzystwa Budownictwa Społecznego Sp. z o.</w:t>
      </w:r>
      <w:r w:rsidR="000C4D7D">
        <w:t xml:space="preserve"> </w:t>
      </w:r>
      <w:r w:rsidRPr="000C4D7D">
        <w:t>o. w</w:t>
      </w:r>
      <w:r w:rsidR="00A129DC" w:rsidRPr="000C4D7D">
        <w:t> </w:t>
      </w:r>
      <w:r w:rsidRPr="000C4D7D">
        <w:t xml:space="preserve">Piotrkowie Trybunalskim, z siedzibą przy ul. Al. 3 Maja 31, 97-300 Piotrków Trybunalski, </w:t>
      </w:r>
      <w:r w:rsidR="000C4D7D">
        <w:br/>
      </w:r>
      <w:r w:rsidRPr="000C4D7D">
        <w:t>NIP – 771-22-81-594, REGON – 590638145.</w:t>
      </w:r>
    </w:p>
    <w:p w14:paraId="5225C559" w14:textId="0F26E2D1" w:rsidR="00E93AA3" w:rsidRPr="000C4D7D" w:rsidRDefault="00E93AA3" w:rsidP="000C4D7D">
      <w:pPr>
        <w:pStyle w:val="Akapitzlist"/>
        <w:numPr>
          <w:ilvl w:val="0"/>
          <w:numId w:val="2"/>
        </w:numPr>
        <w:tabs>
          <w:tab w:val="left" w:pos="426"/>
        </w:tabs>
        <w:spacing w:after="120"/>
        <w:ind w:left="0" w:firstLine="0"/>
        <w:contextualSpacing w:val="0"/>
        <w:rPr>
          <w:rFonts w:ascii="Times New Roman" w:hAnsi="Times New Roman" w:cs="Times New Roman"/>
        </w:rPr>
      </w:pPr>
      <w:r w:rsidRPr="000C4D7D">
        <w:t xml:space="preserve">Księga wieczysta </w:t>
      </w:r>
      <w:r w:rsidR="000B6F53" w:rsidRPr="000C4D7D">
        <w:t>n</w:t>
      </w:r>
      <w:r w:rsidRPr="000C4D7D">
        <w:t xml:space="preserve">r </w:t>
      </w:r>
      <w:r w:rsidRPr="000C4D7D">
        <w:rPr>
          <w:iCs/>
        </w:rPr>
        <w:t>PT1P/</w:t>
      </w:r>
      <w:r w:rsidR="000B6F53" w:rsidRPr="000C4D7D">
        <w:rPr>
          <w:iCs/>
        </w:rPr>
        <w:t>00000949/0</w:t>
      </w:r>
      <w:r w:rsidRPr="000C4D7D">
        <w:rPr>
          <w:iCs/>
        </w:rPr>
        <w:t xml:space="preserve"> prowadzona jest przez Sąd Rejonowy </w:t>
      </w:r>
      <w:r w:rsidRPr="000C4D7D">
        <w:rPr>
          <w:iCs/>
        </w:rPr>
        <w:br/>
        <w:t xml:space="preserve">w Piotrkowie Trybunalskim VI Wydział Ksiąg Wieczystych. </w:t>
      </w:r>
    </w:p>
    <w:p w14:paraId="0E10C1A0" w14:textId="61D817E8" w:rsidR="00E93AA3" w:rsidRPr="000C4D7D" w:rsidRDefault="00E93AA3" w:rsidP="000C4D7D">
      <w:pPr>
        <w:pStyle w:val="Akapitzlist"/>
        <w:numPr>
          <w:ilvl w:val="0"/>
          <w:numId w:val="2"/>
        </w:numPr>
        <w:tabs>
          <w:tab w:val="left" w:pos="426"/>
        </w:tabs>
        <w:spacing w:after="120"/>
        <w:ind w:left="0" w:firstLine="0"/>
        <w:contextualSpacing w:val="0"/>
        <w:rPr>
          <w:rFonts w:ascii="Times New Roman" w:hAnsi="Times New Roman" w:cs="Times New Roman"/>
          <w:iCs/>
        </w:rPr>
      </w:pPr>
      <w:r w:rsidRPr="000C4D7D">
        <w:rPr>
          <w:iCs/>
        </w:rPr>
        <w:t>Teren będący przedmiotem przetargu nie jest objęty miejscowym planem zagospodarowania przestrzennego.</w:t>
      </w:r>
    </w:p>
    <w:p w14:paraId="7C551C9D" w14:textId="7D811832" w:rsidR="003B2D34" w:rsidRPr="000C4D7D" w:rsidRDefault="003B2D34" w:rsidP="000C4D7D">
      <w:pPr>
        <w:pStyle w:val="Akapitzlist"/>
        <w:numPr>
          <w:ilvl w:val="0"/>
          <w:numId w:val="2"/>
        </w:numPr>
        <w:tabs>
          <w:tab w:val="left" w:pos="426"/>
        </w:tabs>
        <w:spacing w:after="120"/>
        <w:ind w:left="0" w:firstLine="0"/>
        <w:contextualSpacing w:val="0"/>
        <w:rPr>
          <w:rFonts w:ascii="Times New Roman" w:hAnsi="Times New Roman" w:cs="Times New Roman"/>
          <w:iCs/>
        </w:rPr>
      </w:pPr>
      <w:r w:rsidRPr="000C4D7D">
        <w:rPr>
          <w:iCs/>
        </w:rPr>
        <w:t>Nieruchomość położona jest w obszarze układu urbanistycznego Śródmieścia Miasta Piotrkowa Trybunalskiego, wpisanego do Rejestru Zabytków decyzją nr 210 z dnia 14.09.1967 r.</w:t>
      </w:r>
    </w:p>
    <w:p w14:paraId="0EE9799B" w14:textId="4D23DD93" w:rsidR="003B2D34" w:rsidRPr="000C4D7D" w:rsidRDefault="003B2D34" w:rsidP="000C4D7D">
      <w:pPr>
        <w:pStyle w:val="Akapitzlist"/>
        <w:numPr>
          <w:ilvl w:val="0"/>
          <w:numId w:val="2"/>
        </w:numPr>
        <w:tabs>
          <w:tab w:val="left" w:pos="426"/>
        </w:tabs>
        <w:spacing w:after="120"/>
        <w:ind w:left="0" w:firstLine="0"/>
        <w:contextualSpacing w:val="0"/>
        <w:rPr>
          <w:rFonts w:ascii="Times New Roman" w:hAnsi="Times New Roman" w:cs="Times New Roman"/>
        </w:rPr>
      </w:pPr>
      <w:r w:rsidRPr="000C4D7D">
        <w:rPr>
          <w:iCs/>
        </w:rPr>
        <w:lastRenderedPageBreak/>
        <w:t>Dla terenu nieruchomości wydano warunki zabudowy dotyczące budowy budynku mieszkalnego wielorodzinnego, wykonano opinię geotechniczną gruntu i uzyskano zapewnienia dostawy mediów.</w:t>
      </w:r>
    </w:p>
    <w:p w14:paraId="5AC25B83" w14:textId="12FE3EC0" w:rsidR="00C15C8D" w:rsidRPr="000C4D7D" w:rsidRDefault="00E93AA3" w:rsidP="000C4D7D">
      <w:pPr>
        <w:pStyle w:val="Akapitzlist"/>
        <w:numPr>
          <w:ilvl w:val="0"/>
          <w:numId w:val="2"/>
        </w:numPr>
        <w:tabs>
          <w:tab w:val="left" w:pos="426"/>
        </w:tabs>
        <w:spacing w:after="120"/>
        <w:ind w:left="0" w:firstLine="0"/>
        <w:contextualSpacing w:val="0"/>
        <w:rPr>
          <w:rFonts w:ascii="Times New Roman" w:hAnsi="Times New Roman" w:cs="Times New Roman"/>
        </w:rPr>
      </w:pPr>
      <w:r w:rsidRPr="000C4D7D">
        <w:rPr>
          <w:iCs/>
        </w:rPr>
        <w:t>Nieruchomość jest wolna od obciążeń.</w:t>
      </w:r>
    </w:p>
    <w:p w14:paraId="0E7942AE" w14:textId="77777777" w:rsidR="00E93AA3" w:rsidRPr="006E4E88" w:rsidRDefault="00E93AA3" w:rsidP="000C4D7D">
      <w:pPr>
        <w:pStyle w:val="Akapitzlist"/>
        <w:numPr>
          <w:ilvl w:val="0"/>
          <w:numId w:val="2"/>
        </w:numPr>
        <w:tabs>
          <w:tab w:val="left" w:pos="426"/>
        </w:tabs>
        <w:spacing w:after="120"/>
        <w:ind w:left="0" w:firstLine="0"/>
        <w:contextualSpacing w:val="0"/>
        <w:rPr>
          <w:rFonts w:ascii="Times New Roman" w:hAnsi="Times New Roman" w:cs="Times New Roman"/>
        </w:rPr>
      </w:pPr>
      <w:r w:rsidRPr="006E4E88">
        <w:t>Przez nieruchomość przechodzą:</w:t>
      </w:r>
    </w:p>
    <w:p w14:paraId="5C918E02" w14:textId="3C566F65" w:rsidR="003B2D34" w:rsidRPr="006E4E88" w:rsidRDefault="000C4118" w:rsidP="000C4D7D">
      <w:pPr>
        <w:pStyle w:val="Akapitzlist"/>
        <w:numPr>
          <w:ilvl w:val="0"/>
          <w:numId w:val="4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hAnsi="Times New Roman" w:cs="Times New Roman"/>
        </w:rPr>
      </w:pPr>
      <w:r>
        <w:t>k</w:t>
      </w:r>
      <w:r w:rsidR="003B2D34" w:rsidRPr="006E4E88">
        <w:t xml:space="preserve">analizacja sanitarna </w:t>
      </w:r>
      <m:oMath>
        <m:r>
          <m:rPr>
            <m:sty m:val="p"/>
          </m:rPr>
          <w:rPr>
            <w:rFonts w:ascii="Cambria Math" w:hAnsi="Cambria Math" w:cs="Times New Roman"/>
          </w:rPr>
          <m:t>ϕ</m:t>
        </m:r>
      </m:oMath>
      <w:r w:rsidR="003B2D34" w:rsidRPr="006E4E88">
        <w:rPr>
          <w:rFonts w:eastAsiaTheme="minorEastAsia"/>
        </w:rPr>
        <w:t xml:space="preserve"> 150 – działka nr 19</w:t>
      </w:r>
      <w:r w:rsidR="003B2D34" w:rsidRPr="006E4E88">
        <w:t>,</w:t>
      </w:r>
    </w:p>
    <w:p w14:paraId="5701CEEC" w14:textId="29EA1979" w:rsidR="003B2D34" w:rsidRPr="006E4E88" w:rsidRDefault="003B2D34" w:rsidP="000C4D7D">
      <w:pPr>
        <w:pStyle w:val="Akapitzlist"/>
        <w:numPr>
          <w:ilvl w:val="0"/>
          <w:numId w:val="4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hAnsi="Times New Roman" w:cs="Times New Roman"/>
        </w:rPr>
      </w:pPr>
      <w:r w:rsidRPr="006E4E88">
        <w:t xml:space="preserve">kanalizacja sanitarna </w:t>
      </w:r>
      <m:oMath>
        <m:r>
          <m:rPr>
            <m:sty m:val="p"/>
          </m:rPr>
          <w:rPr>
            <w:rFonts w:ascii="Cambria Math" w:hAnsi="Cambria Math" w:cs="Times New Roman"/>
          </w:rPr>
          <m:t>ϕ</m:t>
        </m:r>
      </m:oMath>
      <w:r w:rsidRPr="006E4E88">
        <w:rPr>
          <w:rFonts w:eastAsiaTheme="minorEastAsia"/>
        </w:rPr>
        <w:t xml:space="preserve"> 300 ze studnią częściowo nieczynną – działki nr 19 i 20/1,</w:t>
      </w:r>
    </w:p>
    <w:p w14:paraId="7B6C18A9" w14:textId="71590625" w:rsidR="003B2D34" w:rsidRPr="006E4E88" w:rsidRDefault="003B2D34" w:rsidP="000C4D7D">
      <w:pPr>
        <w:pStyle w:val="Akapitzlist"/>
        <w:numPr>
          <w:ilvl w:val="0"/>
          <w:numId w:val="4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hAnsi="Times New Roman" w:cs="Times New Roman"/>
        </w:rPr>
      </w:pPr>
      <w:r w:rsidRPr="006E4E88">
        <w:rPr>
          <w:rFonts w:eastAsiaTheme="minorEastAsia"/>
        </w:rPr>
        <w:t xml:space="preserve">kanalizacja sanitarna </w:t>
      </w:r>
      <m:oMath>
        <m:r>
          <m:rPr>
            <m:sty m:val="p"/>
          </m:rPr>
          <w:rPr>
            <w:rFonts w:ascii="Cambria Math" w:hAnsi="Cambria Math" w:cs="Times New Roman"/>
          </w:rPr>
          <m:t>ϕ</m:t>
        </m:r>
      </m:oMath>
      <w:r w:rsidRPr="006E4E88">
        <w:rPr>
          <w:rFonts w:eastAsiaTheme="minorEastAsia"/>
        </w:rPr>
        <w:t xml:space="preserve"> 800 – działka 20/1,</w:t>
      </w:r>
    </w:p>
    <w:p w14:paraId="19635C31" w14:textId="7CFAFEEE" w:rsidR="00C15C8D" w:rsidRPr="006E4E88" w:rsidRDefault="003B2D34" w:rsidP="000C4D7D">
      <w:pPr>
        <w:pStyle w:val="Akapitzlist"/>
        <w:numPr>
          <w:ilvl w:val="0"/>
          <w:numId w:val="4"/>
        </w:numPr>
        <w:tabs>
          <w:tab w:val="left" w:pos="426"/>
        </w:tabs>
        <w:spacing w:after="120"/>
        <w:ind w:left="0" w:firstLine="0"/>
        <w:contextualSpacing w:val="0"/>
        <w:rPr>
          <w:rFonts w:ascii="Times New Roman" w:hAnsi="Times New Roman" w:cs="Times New Roman"/>
        </w:rPr>
      </w:pPr>
      <w:r w:rsidRPr="006E4E88">
        <w:t>projektowana sieć ciepłownicza – działki 19 i 20/1</w:t>
      </w:r>
      <w:r w:rsidR="00E93AA3" w:rsidRPr="006E4E88">
        <w:t>.</w:t>
      </w:r>
    </w:p>
    <w:p w14:paraId="0703E83A" w14:textId="12FB3159" w:rsidR="00C15C8D" w:rsidRPr="000C4D7D" w:rsidRDefault="00E93AA3" w:rsidP="000C4D7D">
      <w:pPr>
        <w:pStyle w:val="Akapitzlist"/>
        <w:numPr>
          <w:ilvl w:val="0"/>
          <w:numId w:val="2"/>
        </w:numPr>
        <w:tabs>
          <w:tab w:val="left" w:pos="426"/>
        </w:tabs>
        <w:spacing w:after="120"/>
        <w:ind w:left="0" w:firstLine="0"/>
        <w:contextualSpacing w:val="0"/>
        <w:rPr>
          <w:rFonts w:ascii="Times New Roman" w:hAnsi="Times New Roman" w:cs="Times New Roman"/>
        </w:rPr>
      </w:pPr>
      <w:r w:rsidRPr="000C4D7D">
        <w:t>Sprzedający nie odpowiada za wady ukryte zbywanej nieruchomości, w tym także za</w:t>
      </w:r>
      <w:r w:rsidR="000C4118">
        <w:t> </w:t>
      </w:r>
      <w:r w:rsidRPr="000C4D7D">
        <w:t>nieujawniony w</w:t>
      </w:r>
      <w:r w:rsidR="003770D0" w:rsidRPr="000C4D7D">
        <w:t> </w:t>
      </w:r>
      <w:r w:rsidRPr="000C4D7D">
        <w:t>Miejskim Ośrodku Dokumentacji Geodezyjnej i Kartograficznej</w:t>
      </w:r>
      <w:r w:rsidR="003770D0" w:rsidRPr="000C4D7D">
        <w:t> </w:t>
      </w:r>
      <w:r w:rsidRPr="000C4D7D">
        <w:t>w Piotrkowie Trybunalskim, przebieg podziemnych mediów.</w:t>
      </w:r>
    </w:p>
    <w:p w14:paraId="76C033D9" w14:textId="77777777" w:rsidR="008B7445" w:rsidRPr="000C4D7D" w:rsidRDefault="00E93AA3" w:rsidP="000C4D7D">
      <w:pPr>
        <w:pStyle w:val="Akapitzlist"/>
        <w:numPr>
          <w:ilvl w:val="0"/>
          <w:numId w:val="2"/>
        </w:numPr>
        <w:tabs>
          <w:tab w:val="left" w:pos="426"/>
        </w:tabs>
        <w:spacing w:after="120"/>
        <w:ind w:left="0" w:firstLine="0"/>
        <w:contextualSpacing w:val="0"/>
        <w:rPr>
          <w:rFonts w:ascii="Times New Roman" w:hAnsi="Times New Roman" w:cs="Times New Roman"/>
        </w:rPr>
      </w:pPr>
      <w:r w:rsidRPr="000C4D7D">
        <w:rPr>
          <w:iCs/>
        </w:rPr>
        <w:t xml:space="preserve">Opłaty notarialne i sądowe związane z zawarciem umowy sprzedaży w formie aktu notarialnego oraz przeprowadzeniem postępowania wieczystoksięgowego, w całości ponosi nabywca nieruchomości. </w:t>
      </w:r>
    </w:p>
    <w:p w14:paraId="3B3F5C4A" w14:textId="43671E26" w:rsidR="007A7842" w:rsidRPr="000C4D7D" w:rsidRDefault="008B7445" w:rsidP="000C4D7D">
      <w:pPr>
        <w:pStyle w:val="Akapitzlist"/>
        <w:numPr>
          <w:ilvl w:val="0"/>
          <w:numId w:val="2"/>
        </w:numPr>
        <w:tabs>
          <w:tab w:val="left" w:pos="426"/>
        </w:tabs>
        <w:spacing w:after="120"/>
        <w:ind w:left="0" w:firstLine="0"/>
        <w:contextualSpacing w:val="0"/>
        <w:rPr>
          <w:rFonts w:ascii="Times New Roman" w:hAnsi="Times New Roman" w:cs="Times New Roman"/>
        </w:rPr>
      </w:pPr>
      <w:r>
        <w:t xml:space="preserve">Przed przystąpieniem do przetargu należy zapoznać się z regulaminem przetargu, udostępnionym na stronie internetowej Spółki pod adresem </w:t>
      </w:r>
      <w:hyperlink r:id="rId8" w:tooltip="Strona internetowa Towarzystwa Budownictwa Społecznego Sp. z o.o. w Piotrkowie Trybunalskim">
        <w:r>
          <w:rPr>
            <w:color w:val="0563C1"/>
            <w:u w:val="single"/>
          </w:rPr>
          <w:t>www.tbs.piotrkow.pl</w:t>
        </w:r>
      </w:hyperlink>
      <w:r>
        <w:t xml:space="preserve">, na stronie BIP </w:t>
      </w:r>
      <w:hyperlink r:id="rId9" w:tooltip="Biuletyn Informacji Publicznej Towarzystwa Budownictwa Społecznego Sp. z o.o. w Piotrkowie Trybunalskim">
        <w:r>
          <w:rPr>
            <w:color w:val="0563C1"/>
            <w:u w:val="single"/>
          </w:rPr>
          <w:t>https://bip.tbs.piotrkow.pl/</w:t>
        </w:r>
      </w:hyperlink>
      <w:r>
        <w:t xml:space="preserve"> lub w siedzibie Towarzystwa Budownictwa Społecznego Sp. z o.o. w Piotrkowie Tryb. przy ul. Al. 3 Maja 31 w Piotrkowie Trybunalskim w Dziale Inwestycji pokój 19. W siedzibie TBS Sp. z o.o. w Piotrkowie Tryb. można zapoznać się także z dokumentacją dotyczącą nieruchomości od poniedziałku do piątku w godzinach od 800 do 1500.</w:t>
      </w:r>
    </w:p>
    <w:p w14:paraId="66725C8A" w14:textId="47B9C385" w:rsidR="00897B0C" w:rsidRPr="000C4D7D" w:rsidRDefault="00897B0C" w:rsidP="000C4D7D">
      <w:pPr>
        <w:pStyle w:val="Akapitzlist"/>
        <w:numPr>
          <w:ilvl w:val="0"/>
          <w:numId w:val="2"/>
        </w:numPr>
        <w:tabs>
          <w:tab w:val="left" w:pos="426"/>
        </w:tabs>
        <w:spacing w:after="120"/>
        <w:ind w:left="0" w:firstLine="0"/>
        <w:contextualSpacing w:val="0"/>
        <w:rPr>
          <w:rFonts w:ascii="Times New Roman" w:eastAsia="Times New Roman" w:hAnsi="Times New Roman" w:cs="Times New Roman"/>
        </w:rPr>
      </w:pPr>
      <w:r w:rsidRPr="000C4D7D">
        <w:t xml:space="preserve">Wysokość wadium ustala się na </w:t>
      </w:r>
      <w:r w:rsidR="006E2A1D">
        <w:rPr>
          <w:b/>
          <w:iCs/>
        </w:rPr>
        <w:t xml:space="preserve">95000,00 </w:t>
      </w:r>
      <w:r w:rsidR="007A7842" w:rsidRPr="000C4D7D">
        <w:rPr>
          <w:b/>
          <w:bCs/>
        </w:rPr>
        <w:t>zł</w:t>
      </w:r>
      <w:r w:rsidR="007A7842" w:rsidRPr="000C4D7D">
        <w:t xml:space="preserve">, tj. </w:t>
      </w:r>
      <w:r w:rsidR="006E2A1D">
        <w:t>5</w:t>
      </w:r>
      <w:r w:rsidR="007A7842" w:rsidRPr="000C4D7D">
        <w:t xml:space="preserve">% </w:t>
      </w:r>
      <w:r w:rsidRPr="000C4D7D">
        <w:t>ceny wywoławczej.</w:t>
      </w:r>
    </w:p>
    <w:p w14:paraId="4C550042" w14:textId="14A94E6C" w:rsidR="00E93AA3" w:rsidRPr="000C4D7D" w:rsidRDefault="00E93AA3" w:rsidP="000C4D7D">
      <w:pPr>
        <w:pStyle w:val="Akapitzlist"/>
        <w:numPr>
          <w:ilvl w:val="0"/>
          <w:numId w:val="3"/>
        </w:numPr>
        <w:tabs>
          <w:tab w:val="left" w:pos="426"/>
        </w:tabs>
        <w:spacing w:after="120"/>
        <w:ind w:left="0" w:firstLine="0"/>
        <w:contextualSpacing w:val="0"/>
        <w:rPr>
          <w:rFonts w:ascii="Times New Roman" w:eastAsia="Times New Roman" w:hAnsi="Times New Roman" w:cs="Times New Roman"/>
          <w:u w:val="single"/>
        </w:rPr>
      </w:pPr>
      <w:r w:rsidRPr="000C4D7D">
        <w:rPr>
          <w:iCs/>
        </w:rPr>
        <w:t>Wadium należy wnieść przelewem na rachunek bankowy Towarzystwa Budownictwa Społecznego Sp. z o.</w:t>
      </w:r>
      <w:r w:rsidR="00A23AFF" w:rsidRPr="000C4D7D">
        <w:rPr>
          <w:iCs/>
        </w:rPr>
        <w:t xml:space="preserve"> </w:t>
      </w:r>
      <w:r w:rsidRPr="000C4D7D">
        <w:rPr>
          <w:iCs/>
        </w:rPr>
        <w:t xml:space="preserve">o. w Piotrkowie Trybunalskim </w:t>
      </w:r>
      <w:r w:rsidRPr="000C4D7D">
        <w:t xml:space="preserve">prowadzony przez </w:t>
      </w:r>
      <w:r w:rsidRPr="000C4D7D">
        <w:br/>
      </w:r>
      <w:r w:rsidR="006E4E88">
        <w:rPr>
          <w:i/>
          <w:iCs/>
        </w:rPr>
        <w:lastRenderedPageBreak/>
        <w:t>BNP Paribas BP SA</w:t>
      </w:r>
      <w:r w:rsidRPr="000C4D7D">
        <w:rPr>
          <w:i/>
          <w:iCs/>
        </w:rPr>
        <w:t xml:space="preserve"> </w:t>
      </w:r>
      <w:r w:rsidR="006E4E88">
        <w:t>1816001462100</w:t>
      </w:r>
      <w:r w:rsidR="00666E86">
        <w:t>4</w:t>
      </w:r>
      <w:r w:rsidR="006E4E88">
        <w:t>188260000001</w:t>
      </w:r>
      <w:r w:rsidRPr="000C4D7D">
        <w:t xml:space="preserve"> z dopiskiem</w:t>
      </w:r>
      <w:r w:rsidR="006E4E88">
        <w:t xml:space="preserve"> </w:t>
      </w:r>
      <w:r w:rsidRPr="000C4D7D">
        <w:rPr>
          <w:b/>
          <w:bCs/>
          <w:u w:val="single"/>
        </w:rPr>
        <w:t xml:space="preserve">„wadium – </w:t>
      </w:r>
      <w:r w:rsidR="00AA5FB0" w:rsidRPr="000C4D7D">
        <w:rPr>
          <w:b/>
          <w:bCs/>
          <w:u w:val="single"/>
        </w:rPr>
        <w:t>działka”  do dnia</w:t>
      </w:r>
      <w:r w:rsidR="007A7842" w:rsidRPr="000C4D7D">
        <w:rPr>
          <w:b/>
          <w:bCs/>
          <w:u w:val="single"/>
        </w:rPr>
        <w:t xml:space="preserve"> </w:t>
      </w:r>
      <w:r w:rsidR="006E2A1D">
        <w:rPr>
          <w:b/>
          <w:bCs/>
          <w:u w:val="single"/>
        </w:rPr>
        <w:t>2</w:t>
      </w:r>
      <w:r w:rsidR="005309C3">
        <w:rPr>
          <w:b/>
          <w:bCs/>
          <w:u w:val="single"/>
        </w:rPr>
        <w:t>9</w:t>
      </w:r>
      <w:r w:rsidR="006E2A1D">
        <w:rPr>
          <w:b/>
          <w:bCs/>
          <w:u w:val="single"/>
        </w:rPr>
        <w:t>.0</w:t>
      </w:r>
      <w:r w:rsidR="005309C3">
        <w:rPr>
          <w:b/>
          <w:bCs/>
          <w:u w:val="single"/>
        </w:rPr>
        <w:t>9</w:t>
      </w:r>
      <w:r w:rsidR="006E2A1D">
        <w:rPr>
          <w:b/>
          <w:bCs/>
          <w:u w:val="single"/>
        </w:rPr>
        <w:t>.2026</w:t>
      </w:r>
      <w:r w:rsidR="007A7842" w:rsidRPr="000C4D7D">
        <w:rPr>
          <w:b/>
          <w:bCs/>
          <w:u w:val="single"/>
        </w:rPr>
        <w:t xml:space="preserve"> r.</w:t>
      </w:r>
      <w:r w:rsidR="007A7842" w:rsidRPr="000C4D7D">
        <w:rPr>
          <w:u w:val="single"/>
        </w:rPr>
        <w:t xml:space="preserve"> </w:t>
      </w:r>
    </w:p>
    <w:p w14:paraId="0589C673" w14:textId="77777777" w:rsidR="00E93AA3" w:rsidRPr="000C4D7D" w:rsidRDefault="00E93AA3" w:rsidP="000C4D7D">
      <w:pPr>
        <w:pStyle w:val="Akapitzlist"/>
        <w:numPr>
          <w:ilvl w:val="0"/>
          <w:numId w:val="3"/>
        </w:numPr>
        <w:tabs>
          <w:tab w:val="left" w:pos="426"/>
        </w:tabs>
        <w:spacing w:after="120"/>
        <w:ind w:left="0" w:firstLine="0"/>
        <w:contextualSpacing w:val="0"/>
        <w:rPr>
          <w:rFonts w:ascii="Times New Roman" w:eastAsia="Times New Roman" w:hAnsi="Times New Roman" w:cs="Times New Roman"/>
          <w:u w:val="single"/>
        </w:rPr>
      </w:pPr>
      <w:r w:rsidRPr="000C4D7D">
        <w:t>Za dzień wpłaty wadium uważa się dzień wpływu środków pieniężnych na rachunek organizatora przetargu.</w:t>
      </w:r>
    </w:p>
    <w:p w14:paraId="118EE8CC" w14:textId="77777777" w:rsidR="00E93AA3" w:rsidRPr="000C4D7D" w:rsidRDefault="00E93AA3" w:rsidP="000C4D7D">
      <w:pPr>
        <w:pStyle w:val="Akapitzlist"/>
        <w:numPr>
          <w:ilvl w:val="0"/>
          <w:numId w:val="3"/>
        </w:numPr>
        <w:tabs>
          <w:tab w:val="left" w:pos="426"/>
        </w:tabs>
        <w:spacing w:after="120"/>
        <w:ind w:left="0" w:firstLine="0"/>
        <w:contextualSpacing w:val="0"/>
        <w:rPr>
          <w:rFonts w:ascii="Times New Roman" w:eastAsia="Times New Roman" w:hAnsi="Times New Roman" w:cs="Times New Roman"/>
          <w:u w:val="single"/>
        </w:rPr>
      </w:pPr>
      <w:r w:rsidRPr="000C4D7D">
        <w:t>Wadium zwraca się niezwłocznie po odwołaniu lub zamknięciu przetargu, jednak nie później niż przed upływem 3 dni od dnia: odwołania przetargu, zamknięcia przetargu, unieważnienia przetargu, zakończenia przetargu wynikiem negatywnym.</w:t>
      </w:r>
    </w:p>
    <w:p w14:paraId="3285845F" w14:textId="77777777" w:rsidR="00E93AA3" w:rsidRPr="000C4D7D" w:rsidRDefault="00E93AA3" w:rsidP="000C4D7D">
      <w:pPr>
        <w:pStyle w:val="Akapitzlist"/>
        <w:numPr>
          <w:ilvl w:val="0"/>
          <w:numId w:val="3"/>
        </w:numPr>
        <w:tabs>
          <w:tab w:val="left" w:pos="426"/>
        </w:tabs>
        <w:spacing w:after="120"/>
        <w:ind w:left="0" w:firstLine="0"/>
        <w:contextualSpacing w:val="0"/>
        <w:rPr>
          <w:rFonts w:ascii="Times New Roman" w:eastAsia="Times New Roman" w:hAnsi="Times New Roman" w:cs="Times New Roman"/>
          <w:u w:val="single"/>
        </w:rPr>
      </w:pPr>
      <w:r w:rsidRPr="000C4D7D">
        <w:t>Wadium wniesione przez uczestnika, który przetarg wygrał, zalicza się na poczet ceny nabycia nieruchomości.</w:t>
      </w:r>
    </w:p>
    <w:p w14:paraId="4733F512" w14:textId="5378B134" w:rsidR="00E93AA3" w:rsidRPr="000C4D7D" w:rsidRDefault="00E93AA3" w:rsidP="000C4D7D">
      <w:pPr>
        <w:pStyle w:val="Akapitzlist"/>
        <w:numPr>
          <w:ilvl w:val="0"/>
          <w:numId w:val="3"/>
        </w:numPr>
        <w:tabs>
          <w:tab w:val="left" w:pos="426"/>
        </w:tabs>
        <w:spacing w:after="120"/>
        <w:ind w:left="0" w:firstLine="0"/>
        <w:contextualSpacing w:val="0"/>
        <w:rPr>
          <w:rFonts w:ascii="Times New Roman" w:eastAsia="Times New Roman" w:hAnsi="Times New Roman" w:cs="Times New Roman"/>
          <w:u w:val="single"/>
        </w:rPr>
      </w:pPr>
      <w:r w:rsidRPr="000C4D7D">
        <w:t>Wadium przechodzi na własność organizatora przetargu w przypadku uchylenia się oferenta, który przetarg wygrał, od podpisania umowy sprzedaży.</w:t>
      </w:r>
    </w:p>
    <w:p w14:paraId="6B3F630E" w14:textId="4933B425" w:rsidR="00C15C8D" w:rsidRPr="000C4D7D" w:rsidRDefault="00E93AA3" w:rsidP="000C4D7D">
      <w:pPr>
        <w:pStyle w:val="Akapitzlist"/>
        <w:numPr>
          <w:ilvl w:val="0"/>
          <w:numId w:val="3"/>
        </w:numPr>
        <w:tabs>
          <w:tab w:val="left" w:pos="426"/>
        </w:tabs>
        <w:spacing w:after="120"/>
        <w:ind w:left="0" w:firstLine="0"/>
        <w:contextualSpacing w:val="0"/>
        <w:rPr>
          <w:rFonts w:ascii="Times New Roman" w:eastAsia="Times New Roman" w:hAnsi="Times New Roman" w:cs="Times New Roman"/>
          <w:u w:val="single"/>
        </w:rPr>
      </w:pPr>
      <w:r w:rsidRPr="000C4D7D">
        <w:t>Sprzedający zatrzymuje wadium, jeżeli żaden z uczestników nie zaoferował postąpienia.</w:t>
      </w:r>
    </w:p>
    <w:p w14:paraId="79CCC5C5" w14:textId="77777777" w:rsidR="008B7445" w:rsidRPr="000C4D7D" w:rsidRDefault="008B7445" w:rsidP="000C4D7D">
      <w:pPr>
        <w:pStyle w:val="Akapitzlist"/>
        <w:numPr>
          <w:ilvl w:val="0"/>
          <w:numId w:val="2"/>
        </w:numPr>
        <w:tabs>
          <w:tab w:val="left" w:pos="426"/>
        </w:tabs>
        <w:spacing w:after="120"/>
        <w:ind w:left="0" w:firstLine="0"/>
        <w:contextualSpacing w:val="0"/>
        <w:rPr>
          <w:rFonts w:ascii="Times New Roman" w:eastAsia="Calibri" w:hAnsi="Times New Roman" w:cs="Times New Roman"/>
        </w:rPr>
      </w:pPr>
      <w:r w:rsidRPr="000C4D7D">
        <w:t xml:space="preserve">W przetargu mogą uczestniczyć osoby fizyczne, prawne oraz spółki osobowe prawa handlowego, które spełnią niżej wymienione warunki: </w:t>
      </w:r>
    </w:p>
    <w:p w14:paraId="3FCC0B61" w14:textId="77777777" w:rsidR="008B7445" w:rsidRPr="000C4D7D" w:rsidRDefault="008B7445" w:rsidP="000C4D7D">
      <w:pPr>
        <w:pStyle w:val="Akapitzlist"/>
        <w:numPr>
          <w:ilvl w:val="0"/>
          <w:numId w:val="6"/>
        </w:numPr>
        <w:tabs>
          <w:tab w:val="left" w:pos="426"/>
        </w:tabs>
        <w:spacing w:after="120"/>
        <w:ind w:left="0" w:firstLine="0"/>
        <w:contextualSpacing w:val="0"/>
        <w:rPr>
          <w:rFonts w:ascii="Times New Roman" w:eastAsia="Calibri" w:hAnsi="Times New Roman" w:cs="Times New Roman"/>
        </w:rPr>
      </w:pPr>
      <w:r w:rsidRPr="000C4D7D">
        <w:t xml:space="preserve">Wpłacą wadium w wysokości i terminie wskazanym w ogłoszeniu o przetargu. </w:t>
      </w:r>
    </w:p>
    <w:p w14:paraId="11DD68F9" w14:textId="77777777" w:rsidR="008B7445" w:rsidRPr="000C4D7D" w:rsidRDefault="008B7445" w:rsidP="000C4D7D">
      <w:pPr>
        <w:pStyle w:val="Akapitzlist"/>
        <w:numPr>
          <w:ilvl w:val="0"/>
          <w:numId w:val="6"/>
        </w:numPr>
        <w:tabs>
          <w:tab w:val="left" w:pos="426"/>
        </w:tabs>
        <w:spacing w:after="120"/>
        <w:ind w:left="0" w:firstLine="0"/>
        <w:contextualSpacing w:val="0"/>
        <w:rPr>
          <w:rFonts w:ascii="Times New Roman" w:eastAsia="Calibri" w:hAnsi="Times New Roman" w:cs="Times New Roman"/>
        </w:rPr>
      </w:pPr>
      <w:r w:rsidRPr="000C4D7D">
        <w:t xml:space="preserve">Osoby fizyczne przystępujące do przetargu winny legitymować się dowodem osobistym. </w:t>
      </w:r>
    </w:p>
    <w:p w14:paraId="7610DF09" w14:textId="3719DD5A" w:rsidR="008B7445" w:rsidRPr="000C4D7D" w:rsidRDefault="008B7445" w:rsidP="000C4D7D">
      <w:pPr>
        <w:pStyle w:val="Akapitzlist"/>
        <w:numPr>
          <w:ilvl w:val="0"/>
          <w:numId w:val="6"/>
        </w:numPr>
        <w:tabs>
          <w:tab w:val="left" w:pos="426"/>
        </w:tabs>
        <w:spacing w:after="120"/>
        <w:ind w:left="0" w:firstLine="0"/>
        <w:contextualSpacing w:val="0"/>
        <w:rPr>
          <w:rFonts w:ascii="Times New Roman" w:eastAsia="Calibri" w:hAnsi="Times New Roman" w:cs="Times New Roman"/>
        </w:rPr>
      </w:pPr>
      <w:r w:rsidRPr="000C4D7D">
        <w:t>Przedsiębiorcy zobowiązani są przedstawić aktualny odpis z KRS albo aktualne zaświadczenie o</w:t>
      </w:r>
      <w:r w:rsidR="003770D0" w:rsidRPr="000C4D7D">
        <w:t> </w:t>
      </w:r>
      <w:r w:rsidRPr="000C4D7D">
        <w:t>wpisie do ewidencji działalności gospodarczej oraz zgodę odpowiedniego organu</w:t>
      </w:r>
      <w:r w:rsidR="000B6F53" w:rsidRPr="000C4D7D">
        <w:t>,</w:t>
      </w:r>
      <w:r w:rsidRPr="000C4D7D">
        <w:t xml:space="preserve"> jeżeli taki obowiązek wy</w:t>
      </w:r>
      <w:r w:rsidR="00A23AFF" w:rsidRPr="000C4D7D">
        <w:t>nika z aktu założycielskiego</w:t>
      </w:r>
      <w:r w:rsidR="00F30FE2" w:rsidRPr="000C4D7D">
        <w:t xml:space="preserve"> </w:t>
      </w:r>
      <w:r w:rsidR="00A23AFF" w:rsidRPr="000C4D7D">
        <w:t>(</w:t>
      </w:r>
      <w:r w:rsidRPr="000C4D7D">
        <w:t>statutu).</w:t>
      </w:r>
    </w:p>
    <w:p w14:paraId="00496086" w14:textId="019E6AD2" w:rsidR="008B7445" w:rsidRPr="000C4D7D" w:rsidRDefault="008B7445" w:rsidP="000C4D7D">
      <w:pPr>
        <w:pStyle w:val="Akapitzlist"/>
        <w:tabs>
          <w:tab w:val="left" w:pos="426"/>
        </w:tabs>
        <w:spacing w:after="120"/>
        <w:ind w:left="0"/>
        <w:contextualSpacing w:val="0"/>
        <w:rPr>
          <w:rFonts w:ascii="Times New Roman" w:eastAsia="Calibri" w:hAnsi="Times New Roman" w:cs="Times New Roman"/>
        </w:rPr>
      </w:pPr>
      <w:r w:rsidRPr="000C4D7D">
        <w:t xml:space="preserve">Cudzoziemcy zamierzający wziąć udział w przetargu winni </w:t>
      </w:r>
      <w:r w:rsidR="003A7CD5" w:rsidRPr="000C4D7D">
        <w:t>spełniać wymogi określone w ustawie z</w:t>
      </w:r>
      <w:r w:rsidR="003770D0" w:rsidRPr="000C4D7D">
        <w:t> </w:t>
      </w:r>
      <w:r w:rsidR="003A7CD5" w:rsidRPr="000C4D7D">
        <w:t>dnia 24</w:t>
      </w:r>
      <w:r w:rsidR="003770D0" w:rsidRPr="000C4D7D">
        <w:t>.03.</w:t>
      </w:r>
      <w:r w:rsidR="003A7CD5" w:rsidRPr="000C4D7D">
        <w:t>1920 r. o nabywaniu nieruchomości przez cudzoziemców (</w:t>
      </w:r>
      <w:r w:rsidR="003770D0" w:rsidRPr="000C4D7D">
        <w:t xml:space="preserve">t.j. </w:t>
      </w:r>
      <w:r w:rsidR="003A7CD5" w:rsidRPr="000C4D7D">
        <w:t>Dz. U.  z 20</w:t>
      </w:r>
      <w:r w:rsidR="007A7842" w:rsidRPr="000C4D7D">
        <w:t>17</w:t>
      </w:r>
      <w:r w:rsidR="003A7CD5" w:rsidRPr="000C4D7D">
        <w:t xml:space="preserve"> r.</w:t>
      </w:r>
      <w:r w:rsidR="007A7842" w:rsidRPr="000C4D7D">
        <w:t>,</w:t>
      </w:r>
      <w:r w:rsidR="00656338" w:rsidRPr="000C4D7D">
        <w:t xml:space="preserve"> poz. </w:t>
      </w:r>
      <w:r w:rsidR="007A7842" w:rsidRPr="000C4D7D">
        <w:t>2278</w:t>
      </w:r>
      <w:r w:rsidR="00656338" w:rsidRPr="000C4D7D">
        <w:t xml:space="preserve">). </w:t>
      </w:r>
      <w:r w:rsidR="003A7CD5" w:rsidRPr="000C4D7D">
        <w:t xml:space="preserve"> </w:t>
      </w:r>
    </w:p>
    <w:p w14:paraId="1A0898B9" w14:textId="77777777" w:rsidR="008B7445" w:rsidRPr="000C4D7D" w:rsidRDefault="008B7445" w:rsidP="000C4D7D">
      <w:pPr>
        <w:pStyle w:val="Akapitzlist"/>
        <w:numPr>
          <w:ilvl w:val="0"/>
          <w:numId w:val="6"/>
        </w:numPr>
        <w:tabs>
          <w:tab w:val="left" w:pos="426"/>
        </w:tabs>
        <w:spacing w:after="120"/>
        <w:ind w:left="0" w:firstLine="0"/>
        <w:contextualSpacing w:val="0"/>
        <w:rPr>
          <w:rFonts w:ascii="Times New Roman" w:eastAsia="Calibri" w:hAnsi="Times New Roman" w:cs="Times New Roman"/>
        </w:rPr>
      </w:pPr>
      <w:r w:rsidRPr="000C4D7D">
        <w:t xml:space="preserve">Osoba trzecia działająca w imieniu oferenta obowiązana jest przedłożyć oryginał stosownego pełnomocnictwa. </w:t>
      </w:r>
    </w:p>
    <w:p w14:paraId="3C6F299B" w14:textId="70580FC8" w:rsidR="00C15C8D" w:rsidRPr="000C4D7D" w:rsidRDefault="008B7445" w:rsidP="000C4D7D">
      <w:pPr>
        <w:pStyle w:val="Akapitzlist"/>
        <w:numPr>
          <w:ilvl w:val="0"/>
          <w:numId w:val="6"/>
        </w:numPr>
        <w:tabs>
          <w:tab w:val="left" w:pos="426"/>
        </w:tabs>
        <w:spacing w:after="120"/>
        <w:ind w:left="0" w:firstLine="0"/>
        <w:contextualSpacing w:val="0"/>
        <w:rPr>
          <w:rFonts w:ascii="Times New Roman" w:eastAsia="Calibri" w:hAnsi="Times New Roman" w:cs="Times New Roman"/>
        </w:rPr>
      </w:pPr>
      <w:r w:rsidRPr="000C4D7D">
        <w:lastRenderedPageBreak/>
        <w:t>Uczestnicy przetargu złożą stosowne oświadczenie o zapoznaniu się, między innymi, z</w:t>
      </w:r>
      <w:r w:rsidR="00A23AFF" w:rsidRPr="000C4D7D">
        <w:t> </w:t>
      </w:r>
      <w:r w:rsidRPr="000C4D7D">
        <w:t xml:space="preserve">treścią </w:t>
      </w:r>
      <w:r w:rsidR="00A129DC" w:rsidRPr="000C4D7D">
        <w:t>niniejsz</w:t>
      </w:r>
      <w:r w:rsidR="00F775B7" w:rsidRPr="000C4D7D">
        <w:t xml:space="preserve">ego </w:t>
      </w:r>
      <w:r w:rsidR="00A129DC" w:rsidRPr="000C4D7D">
        <w:t xml:space="preserve">ogłoszenia, z treścią </w:t>
      </w:r>
      <w:r w:rsidRPr="000C4D7D">
        <w:t>regulaminu, a także ze stanem prawnym i</w:t>
      </w:r>
      <w:r w:rsidR="00A23AFF" w:rsidRPr="000C4D7D">
        <w:t> </w:t>
      </w:r>
      <w:r w:rsidRPr="000C4D7D">
        <w:t xml:space="preserve">technicznym licytowanej nieruchomości, zgodnie z załącznikiem Nr 1 do </w:t>
      </w:r>
      <w:r w:rsidR="00656338" w:rsidRPr="000C4D7D">
        <w:t>regulaminu, o którym mowa w pkt 1</w:t>
      </w:r>
      <w:r w:rsidR="00C15C8D" w:rsidRPr="000C4D7D">
        <w:t>3</w:t>
      </w:r>
      <w:r w:rsidR="00656338" w:rsidRPr="000C4D7D">
        <w:t xml:space="preserve">. </w:t>
      </w:r>
    </w:p>
    <w:p w14:paraId="2BF4F52C" w14:textId="77777777" w:rsidR="00AA5FB0" w:rsidRPr="000C4D7D" w:rsidRDefault="00AA5FB0" w:rsidP="000C4D7D">
      <w:pPr>
        <w:pStyle w:val="Akapitzlist"/>
        <w:numPr>
          <w:ilvl w:val="0"/>
          <w:numId w:val="2"/>
        </w:numPr>
        <w:tabs>
          <w:tab w:val="left" w:pos="426"/>
        </w:tabs>
        <w:spacing w:after="120"/>
        <w:ind w:left="0" w:firstLine="0"/>
        <w:contextualSpacing w:val="0"/>
        <w:rPr>
          <w:rFonts w:ascii="Times New Roman" w:hAnsi="Times New Roman" w:cs="Times New Roman"/>
        </w:rPr>
      </w:pPr>
      <w:r w:rsidRPr="000C4D7D">
        <w:t>Sprzedający zastrzega sobie prawo odstąpienia od przetargu na każdym etapie postępowania bez podania przyczyny.</w:t>
      </w:r>
    </w:p>
    <w:p w14:paraId="6F6E69D4" w14:textId="02E2A3BA" w:rsidR="00AA5FB0" w:rsidRPr="000C4D7D" w:rsidRDefault="00AA5FB0" w:rsidP="000C4D7D">
      <w:pPr>
        <w:pStyle w:val="Akapitzlist"/>
        <w:tabs>
          <w:tab w:val="left" w:pos="426"/>
        </w:tabs>
        <w:spacing w:after="120"/>
        <w:ind w:left="0"/>
        <w:contextualSpacing w:val="0"/>
        <w:rPr>
          <w:rFonts w:ascii="Times New Roman" w:hAnsi="Times New Roman" w:cs="Times New Roman"/>
        </w:rPr>
      </w:pPr>
      <w:r w:rsidRPr="000C4D7D">
        <w:t>Zgłoszonym oferentom nie przysługuje jakiekolwiek roszczenie wobec organizatora przetargu z</w:t>
      </w:r>
      <w:r w:rsidR="000C4D7D">
        <w:t> </w:t>
      </w:r>
      <w:r w:rsidRPr="000C4D7D">
        <w:t>tego tytułu.</w:t>
      </w:r>
    </w:p>
    <w:sectPr w:rsidR="00AA5FB0" w:rsidRPr="000C4D7D" w:rsidSect="00713DC3">
      <w:footerReference w:type="default" r:id="rId10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674B2" w14:textId="77777777" w:rsidR="009F4749" w:rsidRDefault="009F4749" w:rsidP="00F775B7">
      <w:pPr>
        <w:spacing w:after="0" w:line="240" w:lineRule="auto"/>
      </w:pPr>
      <w:r>
        <w:separator/>
      </w:r>
    </w:p>
  </w:endnote>
  <w:endnote w:type="continuationSeparator" w:id="0">
    <w:p w14:paraId="3963EB87" w14:textId="77777777" w:rsidR="009F4749" w:rsidRDefault="009F4749" w:rsidP="00F77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106184"/>
      <w:docPartObj>
        <w:docPartGallery w:val="Page Numbers (Bottom of Page)"/>
        <w:docPartUnique/>
      </w:docPartObj>
    </w:sdtPr>
    <w:sdtContent>
      <w:p w14:paraId="3E1D3190" w14:textId="77777777" w:rsidR="00F775B7" w:rsidRDefault="00B0288F">
        <w:pPr>
          <w:pStyle w:val="Stopka"/>
        </w:pPr>
        <w:r>
          <w:fldChar w:fldCharType="begin"/>
        </w:r>
        <w:r w:rsidR="00F775B7">
          <w:instrText>PAGE   \* MERGEFORMAT</w:instrText>
        </w:r>
        <w:r>
          <w:fldChar w:fldCharType="separate"/>
        </w:r>
        <w:r w:rsidR="004811E5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5CE1A" w14:textId="77777777" w:rsidR="009F4749" w:rsidRDefault="009F4749" w:rsidP="00F775B7">
      <w:pPr>
        <w:spacing w:after="0" w:line="240" w:lineRule="auto"/>
      </w:pPr>
      <w:r>
        <w:separator/>
      </w:r>
    </w:p>
  </w:footnote>
  <w:footnote w:type="continuationSeparator" w:id="0">
    <w:p w14:paraId="2196939B" w14:textId="77777777" w:rsidR="009F4749" w:rsidRDefault="009F4749" w:rsidP="00F775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D04DE"/>
    <w:multiLevelType w:val="hybridMultilevel"/>
    <w:tmpl w:val="CD027F9C"/>
    <w:lvl w:ilvl="0" w:tplc="3104D2C0">
      <w:start w:val="1"/>
      <w:numFmt w:val="lowerLetter"/>
      <w:lvlText w:val="%1)"/>
      <w:lvlJc w:val="left"/>
      <w:pPr>
        <w:ind w:left="1080" w:hanging="360"/>
      </w:pPr>
      <w:rPr>
        <w:rFonts w:ascii="Aptos" w:eastAsia="Aptos" w:hAnsi="Aptos" w:cs="Aptos" w:hint="default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</w:abstractNum>
  <w:abstractNum w:abstractNumId="1" w15:restartNumberingAfterBreak="0">
    <w:nsid w:val="40000AFA"/>
    <w:multiLevelType w:val="hybridMultilevel"/>
    <w:tmpl w:val="CF30F712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Aptos" w:eastAsia="Aptos" w:hAnsi="Aptos" w:cs="Aptos" w:hint="default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</w:abstractNum>
  <w:abstractNum w:abstractNumId="2" w15:restartNumberingAfterBreak="0">
    <w:nsid w:val="426E478D"/>
    <w:multiLevelType w:val="hybridMultilevel"/>
    <w:tmpl w:val="894E064A"/>
    <w:lvl w:ilvl="0" w:tplc="9012752A">
      <w:start w:val="1"/>
      <w:numFmt w:val="lowerLetter"/>
      <w:lvlText w:val="%1)"/>
      <w:lvlJc w:val="left"/>
      <w:pPr>
        <w:ind w:left="720" w:hanging="360"/>
      </w:pPr>
      <w:rPr>
        <w:rFonts w:ascii="Aptos" w:eastAsiaTheme="minorHAnsi" w:hAnsi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</w:abstractNum>
  <w:abstractNum w:abstractNumId="3" w15:restartNumberingAfterBreak="0">
    <w:nsid w:val="44E6675E"/>
    <w:multiLevelType w:val="hybridMultilevel"/>
    <w:tmpl w:val="41C0B048"/>
    <w:lvl w:ilvl="0" w:tplc="DCB8F9D0">
      <w:start w:val="1"/>
      <w:numFmt w:val="upperRoman"/>
      <w:lvlText w:val="%1."/>
      <w:lvlJc w:val="left"/>
      <w:pPr>
        <w:ind w:left="1080" w:hanging="720"/>
      </w:pPr>
      <w:rPr>
        <w:rFonts w:ascii="Aptos" w:eastAsia="Aptos" w:hAnsi="Aptos" w:cs="Aptos" w:hint="default"/>
        <w:b/>
        <w:bCs/>
        <w:sz w:val="28"/>
        <w:szCs w:val="28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ascii="Aptos" w:eastAsia="Aptos" w:hAnsi="Aptos" w:cs="Aptos"/>
        <w:b/>
        <w:bCs/>
        <w:sz w:val="28"/>
        <w:szCs w:val="28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ascii="Aptos" w:eastAsia="Aptos" w:hAnsi="Aptos" w:cs="Aptos"/>
        <w:b/>
        <w:bCs/>
        <w:sz w:val="28"/>
        <w:szCs w:val="28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ascii="Aptos" w:eastAsia="Aptos" w:hAnsi="Aptos" w:cs="Aptos"/>
        <w:b/>
        <w:bCs/>
        <w:sz w:val="28"/>
        <w:szCs w:val="28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ascii="Aptos" w:eastAsia="Aptos" w:hAnsi="Aptos" w:cs="Aptos"/>
        <w:b/>
        <w:bCs/>
        <w:sz w:val="28"/>
        <w:szCs w:val="28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ascii="Aptos" w:eastAsia="Aptos" w:hAnsi="Aptos" w:cs="Aptos"/>
        <w:b/>
        <w:bCs/>
        <w:sz w:val="28"/>
        <w:szCs w:val="28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ascii="Aptos" w:eastAsia="Aptos" w:hAnsi="Aptos" w:cs="Aptos"/>
        <w:b/>
        <w:bCs/>
        <w:sz w:val="28"/>
        <w:szCs w:val="28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ascii="Aptos" w:eastAsia="Aptos" w:hAnsi="Aptos" w:cs="Aptos"/>
        <w:b/>
        <w:bCs/>
        <w:sz w:val="28"/>
        <w:szCs w:val="28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ascii="Aptos" w:eastAsia="Aptos" w:hAnsi="Aptos" w:cs="Aptos"/>
        <w:b/>
        <w:bCs/>
        <w:sz w:val="28"/>
        <w:szCs w:val="28"/>
        <w:lang w:val="pl-PL" w:eastAsia="pl-PL" w:bidi="pl-PL"/>
      </w:rPr>
    </w:lvl>
  </w:abstractNum>
  <w:abstractNum w:abstractNumId="4" w15:restartNumberingAfterBreak="0">
    <w:nsid w:val="65292125"/>
    <w:multiLevelType w:val="hybridMultilevel"/>
    <w:tmpl w:val="4E1E642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Aptos" w:eastAsia="Aptos" w:hAnsi="Aptos" w:cs="Aptos" w:hint="default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</w:abstractNum>
  <w:abstractNum w:abstractNumId="5" w15:restartNumberingAfterBreak="0">
    <w:nsid w:val="74F52A1D"/>
    <w:multiLevelType w:val="hybridMultilevel"/>
    <w:tmpl w:val="2EA6F624"/>
    <w:lvl w:ilvl="0" w:tplc="621064D2">
      <w:start w:val="1"/>
      <w:numFmt w:val="decimal"/>
      <w:lvlText w:val="%1."/>
      <w:lvlJc w:val="left"/>
      <w:pPr>
        <w:ind w:left="360" w:hanging="360"/>
      </w:pPr>
      <w:rPr>
        <w:rFonts w:ascii="Aptos" w:eastAsia="Aptos" w:hAnsi="Aptos" w:cs="Aptos" w:hint="default"/>
        <w:b w:val="0"/>
        <w:bCs w:val="0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</w:abstractNum>
  <w:abstractNum w:abstractNumId="6" w15:restartNumberingAfterBreak="0">
    <w:nsid w:val="77321245"/>
    <w:multiLevelType w:val="hybridMultilevel"/>
    <w:tmpl w:val="6316C936"/>
    <w:lvl w:ilvl="0" w:tplc="D8CED12C">
      <w:start w:val="1"/>
      <w:numFmt w:val="lowerLetter"/>
      <w:lvlText w:val="%1)"/>
      <w:lvlJc w:val="left"/>
      <w:pPr>
        <w:ind w:left="108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</w:abstractNum>
  <w:num w:numId="1" w16cid:durableId="351340606">
    <w:abstractNumId w:val="3"/>
  </w:num>
  <w:num w:numId="2" w16cid:durableId="492455053">
    <w:abstractNumId w:val="5"/>
  </w:num>
  <w:num w:numId="3" w16cid:durableId="1752265695">
    <w:abstractNumId w:val="2"/>
  </w:num>
  <w:num w:numId="4" w16cid:durableId="1240214956">
    <w:abstractNumId w:val="0"/>
  </w:num>
  <w:num w:numId="5" w16cid:durableId="797143387">
    <w:abstractNumId w:val="4"/>
  </w:num>
  <w:num w:numId="6" w16cid:durableId="1083643007">
    <w:abstractNumId w:val="6"/>
  </w:num>
  <w:num w:numId="7" w16cid:durableId="8875722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2A2"/>
    <w:rsid w:val="000B6F53"/>
    <w:rsid w:val="000C0B2D"/>
    <w:rsid w:val="000C4118"/>
    <w:rsid w:val="000C4D7D"/>
    <w:rsid w:val="00232D2C"/>
    <w:rsid w:val="002D1503"/>
    <w:rsid w:val="002E76FB"/>
    <w:rsid w:val="002F6AAD"/>
    <w:rsid w:val="00350D08"/>
    <w:rsid w:val="0036385C"/>
    <w:rsid w:val="003770D0"/>
    <w:rsid w:val="003A7CD5"/>
    <w:rsid w:val="003B2D34"/>
    <w:rsid w:val="003B7F9D"/>
    <w:rsid w:val="003C75C3"/>
    <w:rsid w:val="004811E5"/>
    <w:rsid w:val="004912A2"/>
    <w:rsid w:val="00494882"/>
    <w:rsid w:val="004F1C4E"/>
    <w:rsid w:val="005309C3"/>
    <w:rsid w:val="0061493C"/>
    <w:rsid w:val="00647AB5"/>
    <w:rsid w:val="00656338"/>
    <w:rsid w:val="00666E86"/>
    <w:rsid w:val="006B133C"/>
    <w:rsid w:val="006E2A1D"/>
    <w:rsid w:val="006E4E88"/>
    <w:rsid w:val="007457C1"/>
    <w:rsid w:val="007A7842"/>
    <w:rsid w:val="008317B8"/>
    <w:rsid w:val="008832FE"/>
    <w:rsid w:val="00897B0C"/>
    <w:rsid w:val="008B7445"/>
    <w:rsid w:val="009575B9"/>
    <w:rsid w:val="00977AF1"/>
    <w:rsid w:val="009F4749"/>
    <w:rsid w:val="00A05FB4"/>
    <w:rsid w:val="00A129B6"/>
    <w:rsid w:val="00A129DC"/>
    <w:rsid w:val="00A23AFF"/>
    <w:rsid w:val="00A3767F"/>
    <w:rsid w:val="00A72E94"/>
    <w:rsid w:val="00AA5FB0"/>
    <w:rsid w:val="00AE617E"/>
    <w:rsid w:val="00B0288F"/>
    <w:rsid w:val="00BA7101"/>
    <w:rsid w:val="00BB29A3"/>
    <w:rsid w:val="00BD02CB"/>
    <w:rsid w:val="00C15C8D"/>
    <w:rsid w:val="00C70BCD"/>
    <w:rsid w:val="00C77056"/>
    <w:rsid w:val="00CD288E"/>
    <w:rsid w:val="00CF1EC7"/>
    <w:rsid w:val="00D5691B"/>
    <w:rsid w:val="00D659F4"/>
    <w:rsid w:val="00DE4F3F"/>
    <w:rsid w:val="00E06DB6"/>
    <w:rsid w:val="00E529AE"/>
    <w:rsid w:val="00E93AA3"/>
    <w:rsid w:val="00EB0E33"/>
    <w:rsid w:val="00F30FE2"/>
    <w:rsid w:val="00F50B6F"/>
    <w:rsid w:val="00F775B7"/>
    <w:rsid w:val="00F97D7A"/>
    <w:rsid w:val="00FE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pl-PL" w:bidi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B436E"/>
  <w15:docId w15:val="{17F553B3-B4CC-4812-87B0-33F77C64E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pl-PL" w:bidi="pl-PL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59F4"/>
    <w:rPr>
      <w:rFonts w:ascii="Aptos" w:eastAsia="Aptos" w:hAnsi="Aptos" w:cs="Aptos"/>
    </w:rPr>
  </w:style>
  <w:style w:type="paragraph" w:styleId="Nagwek1">
    <w:name w:val="heading 1"/>
    <w:basedOn w:val="Normalny"/>
    <w:next w:val="Normalny"/>
    <w:uiPriority w:val="9"/>
    <w:unhideWhenUsed/>
    <w:qFormat/>
    <w:pPr>
      <w:keepNext/>
      <w:keepLines/>
      <w:spacing w:after="160"/>
      <w:outlineLvl w:val="0"/>
    </w:pPr>
    <w:rPr>
      <w:b/>
      <w:bCs/>
      <w:color w:val="000000"/>
      <w:sz w:val="32"/>
      <w:szCs w:val="32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200" w:after="100"/>
      <w:outlineLvl w:val="1"/>
    </w:pPr>
    <w:rPr>
      <w:b/>
      <w:bCs/>
      <w:color w:val="00000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3AA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3AA3"/>
    <w:pPr>
      <w:spacing w:after="0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3AA3"/>
    <w:rPr>
      <w:rFonts w:ascii="Aptos" w:eastAsia="Aptos" w:hAnsi="Aptos" w:cs="Aptos"/>
      <w:sz w:val="24"/>
      <w:szCs w:val="24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8B7445"/>
    <w:rPr>
      <w:rFonts w:ascii="Aptos" w:eastAsia="Aptos" w:hAnsi="Aptos" w:cs="Aptos"/>
      <w:color w:val="0000FF" w:themeColor="hyperlink"/>
      <w:sz w:val="24"/>
      <w:szCs w:val="24"/>
      <w:u w:val="single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F775B7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F775B7"/>
    <w:rPr>
      <w:rFonts w:ascii="Aptos" w:eastAsia="Aptos" w:hAnsi="Aptos" w:cs="Aptos"/>
      <w:sz w:val="24"/>
      <w:szCs w:val="24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F775B7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F775B7"/>
    <w:rPr>
      <w:rFonts w:ascii="Aptos" w:eastAsia="Aptos" w:hAnsi="Aptos" w:cs="Aptos"/>
      <w:sz w:val="24"/>
      <w:szCs w:val="24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4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bs.piotrkow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bip.tbs.piotrkow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192DB-6A73-4E48-B7D2-881290EFE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4</Pages>
  <Words>825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przetargu ustnym nieograniczonym na sprzedaż nieruchomości</dc:title>
  <dc:subject/>
  <dc:creator>Maciej Dudkiewicz</dc:creator>
  <cp:keywords/>
  <dc:description/>
  <cp:lastModifiedBy>Adam Łuczyński</cp:lastModifiedBy>
  <cp:revision>14</cp:revision>
  <cp:lastPrinted>2026-07-17T08:17:00Z</cp:lastPrinted>
  <dcterms:created xsi:type="dcterms:W3CDTF">2020-07-06T09:52:00Z</dcterms:created>
  <dcterms:modified xsi:type="dcterms:W3CDTF">2026-09-01T08:34:00Z</dcterms:modified>
</cp:coreProperties>
</file>