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F8786C" w:rsidRDefault="004B4A44" w:rsidP="00F8786C">
      <w:pPr>
        <w:pStyle w:val="Nagwek1"/>
        <w:spacing w:line="360" w:lineRule="auto"/>
        <w:rPr>
          <w:b/>
          <w:bCs/>
          <w:color w:val="auto"/>
        </w:rPr>
      </w:pPr>
      <w:r w:rsidRPr="00F8786C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06811D58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EC19D5" w:rsidRPr="00EC19D5">
        <w:rPr>
          <w:rFonts w:asciiTheme="majorHAnsi" w:hAnsiTheme="majorHAnsi" w:cstheme="majorHAnsi"/>
          <w:sz w:val="24"/>
          <w:szCs w:val="24"/>
        </w:rPr>
        <w:t>Rycerskiej 11 o powierzchni 43,74 m2</w:t>
      </w:r>
      <w:r w:rsidR="00EC19D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F8786C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F878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F4CEB"/>
    <w:rsid w:val="003D705D"/>
    <w:rsid w:val="004B4A44"/>
    <w:rsid w:val="00593D86"/>
    <w:rsid w:val="007B08F3"/>
    <w:rsid w:val="00EC19D5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F87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87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2022-02-11T13:21:00Z</dcterms:modified>
</cp:coreProperties>
</file>