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642" w14:textId="77777777" w:rsidR="006603CA" w:rsidRPr="006603CA" w:rsidRDefault="006603CA" w:rsidP="006603CA">
      <w:pPr>
        <w:pStyle w:val="Nagwek1"/>
        <w:spacing w:line="360" w:lineRule="auto"/>
        <w:rPr>
          <w:b/>
          <w:bCs/>
          <w:color w:val="auto"/>
        </w:rPr>
      </w:pPr>
      <w:r w:rsidRPr="006603CA">
        <w:rPr>
          <w:b/>
          <w:bCs/>
          <w:color w:val="auto"/>
        </w:rPr>
        <w:t>Załącznik Numer 1 do umowy najmu lokalu użytkowego położonego przy ulicy Rycerskiej 11 w Piotrkowie Trybunalskim zawartej w dniu …............ roku</w:t>
      </w:r>
    </w:p>
    <w:p w14:paraId="6FA573F1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według cen obowiązujących w dniu zawarcia umowy, a wynikające z umów zawartych z dostawcami mediów, które wynoszą:</w:t>
      </w:r>
    </w:p>
    <w:p w14:paraId="395DC8F5" w14:textId="77777777" w:rsidR="006603CA" w:rsidRPr="006603CA" w:rsidRDefault="006603CA" w:rsidP="006603C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za zużyte ciepło (centralne ogrzewanie plus podgrzanie ciepłej wody użytkowej) :</w:t>
      </w:r>
    </w:p>
    <w:p w14:paraId="5DF321C3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stawka zaliczkowa ….. zł/m2 plus obowiązująca stawka VAT powierzchni użytkowej lokalu.</w:t>
      </w:r>
    </w:p>
    <w:p w14:paraId="53632FF9" w14:textId="77777777" w:rsidR="006603CA" w:rsidRPr="006603CA" w:rsidRDefault="006603CA" w:rsidP="006603CA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Rozliczenie naliczonych opłat zaliczonych na poczet kosztów zużycia ciepła (centralne ogrzewanie, podgrzanie ciepłej wody użytkowej) następować będzie co najmniej raz w roku po zakończeniu okresu rozliczeniowego na dzień 30 czerwca na podstawie wskazań ciepłomierza głównego w węźle stosownie do Regulaminu rozliczeń kosztów ciepła.</w:t>
      </w:r>
    </w:p>
    <w:p w14:paraId="1F344025" w14:textId="77777777" w:rsidR="006603CA" w:rsidRPr="006603CA" w:rsidRDefault="006603CA" w:rsidP="006603CA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Stawki zaliczkowych opłat na poczet kosztów zużycia ciepła na cele centralnego ogrzewania i ciepłej wody użytkowej mogą ulec zmianie w okresach i na zasadach określonych Regulaminem, o którym mowa w punkcie 1.</w:t>
      </w:r>
    </w:p>
    <w:p w14:paraId="328D995E" w14:textId="77777777" w:rsidR="006603CA" w:rsidRPr="006603CA" w:rsidRDefault="006603CA" w:rsidP="006603C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ustępie 1,2,3.</w:t>
      </w:r>
    </w:p>
    <w:p w14:paraId="7D418163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Ilość wody zużytej przez najemców budynku ustalana jest na podstawie wskazań wodomierza głównego w tym budynku.</w:t>
      </w:r>
    </w:p>
    <w:p w14:paraId="550DB5CA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0A03E5EC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W przypadku wystąpienia różnicy wskazań pomiędzy wodomierzem głównym, a sumą wodomierzy lokalowych /na podstawie informacji od dostawcy wody/, różnica ta zostanie rozliczona przez Wynajmującego pomiędzy wszystkich najemców, proporcjonalnie do wskazań wodomierzy lokalowych wg. cen dostawcy i odbiorcy ścieków.</w:t>
      </w:r>
    </w:p>
    <w:p w14:paraId="5298328D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lastRenderedPageBreak/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53FF2F17" w14:textId="112CC563" w:rsidR="001F4CEB" w:rsidRPr="006603CA" w:rsidRDefault="006603CA" w:rsidP="006603CA">
      <w:pPr>
        <w:spacing w:after="14640"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Wynajmujący:</w:t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66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D4"/>
    <w:multiLevelType w:val="hybridMultilevel"/>
    <w:tmpl w:val="5B9C0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18D"/>
    <w:multiLevelType w:val="hybridMultilevel"/>
    <w:tmpl w:val="0DF4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CA"/>
    <w:rsid w:val="001F4CEB"/>
    <w:rsid w:val="006603CA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3B4"/>
  <w15:chartTrackingRefBased/>
  <w15:docId w15:val="{28F2D0D6-9203-428B-BD76-C8CC3EC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660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</dc:title>
  <dc:subject/>
  <dc:creator>Hanna Komar</dc:creator>
  <cp:keywords/>
  <dc:description/>
  <cp:lastModifiedBy>Hanna Komar</cp:lastModifiedBy>
  <cp:revision>1</cp:revision>
  <dcterms:created xsi:type="dcterms:W3CDTF">2022-02-11T12:39:00Z</dcterms:created>
  <dcterms:modified xsi:type="dcterms:W3CDTF">2022-02-11T12:40:00Z</dcterms:modified>
</cp:coreProperties>
</file>