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53EC745F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3B01E7">
        <w:rPr>
          <w:rFonts w:cstheme="majorHAnsi"/>
          <w:b/>
          <w:bCs/>
          <w:color w:val="auto"/>
        </w:rPr>
        <w:t>2</w:t>
      </w:r>
      <w:r w:rsidR="00E27D95">
        <w:rPr>
          <w:rFonts w:cstheme="majorHAnsi"/>
          <w:b/>
          <w:bCs/>
          <w:color w:val="auto"/>
        </w:rPr>
        <w:t>,</w:t>
      </w:r>
      <w:r w:rsidR="003B01E7">
        <w:rPr>
          <w:rFonts w:cstheme="majorHAnsi"/>
          <w:b/>
          <w:bCs/>
          <w:color w:val="auto"/>
        </w:rPr>
        <w:t>91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48BD18B2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BB2386">
        <w:rPr>
          <w:rFonts w:asciiTheme="majorHAnsi" w:hAnsiTheme="majorHAnsi" w:cstheme="majorHAnsi"/>
          <w:sz w:val="24"/>
          <w:szCs w:val="24"/>
        </w:rPr>
        <w:t>17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BB2386">
        <w:rPr>
          <w:rFonts w:asciiTheme="majorHAnsi" w:hAnsiTheme="majorHAnsi" w:cstheme="majorHAnsi"/>
          <w:sz w:val="24"/>
          <w:szCs w:val="24"/>
        </w:rPr>
        <w:t>listopada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10:</w:t>
      </w:r>
      <w:r w:rsidR="003B01E7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E24228C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 xml:space="preserve">Postanowienia </w:t>
      </w:r>
      <w:r w:rsidR="00BB2386">
        <w:rPr>
          <w:rFonts w:cstheme="majorHAnsi"/>
          <w:color w:val="auto"/>
        </w:rPr>
        <w:t>ogólne</w:t>
      </w:r>
    </w:p>
    <w:p w14:paraId="53128C28" w14:textId="71554A84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4035A069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Ustawa z dnia 21 sierpnia 1997 roku o gospodarce nieruchomościami (Dziennik Ustaw z 2021 roku, pozycja 1899 </w:t>
      </w:r>
      <w:r w:rsidR="00A321E6">
        <w:rPr>
          <w:rFonts w:asciiTheme="majorHAnsi" w:hAnsiTheme="majorHAnsi" w:cstheme="majorHAnsi"/>
          <w:sz w:val="24"/>
          <w:szCs w:val="24"/>
        </w:rPr>
        <w:t>z</w:t>
      </w:r>
      <w:r w:rsidRPr="008E1C5F">
        <w:rPr>
          <w:rFonts w:asciiTheme="majorHAnsi" w:hAnsiTheme="majorHAnsi" w:cstheme="majorHAnsi"/>
          <w:sz w:val="24"/>
          <w:szCs w:val="24"/>
        </w:rPr>
        <w:t xml:space="preserve">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203AEC2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0B7872B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3B01E7">
        <w:rPr>
          <w:rFonts w:asciiTheme="majorHAnsi" w:hAnsiTheme="majorHAnsi" w:cstheme="majorHAnsi"/>
          <w:sz w:val="24"/>
          <w:szCs w:val="24"/>
        </w:rPr>
        <w:t>6</w:t>
      </w:r>
      <w:r w:rsidR="00BB2386">
        <w:rPr>
          <w:rFonts w:asciiTheme="majorHAnsi" w:hAnsiTheme="majorHAnsi" w:cstheme="majorHAnsi"/>
          <w:sz w:val="24"/>
          <w:szCs w:val="24"/>
        </w:rPr>
        <w:t>18,57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279A1B05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BB2386">
        <w:rPr>
          <w:rFonts w:asciiTheme="majorHAnsi" w:hAnsiTheme="majorHAnsi" w:cstheme="majorHAnsi"/>
          <w:sz w:val="24"/>
          <w:szCs w:val="24"/>
        </w:rPr>
        <w:t>618,57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3B01E7">
        <w:rPr>
          <w:rFonts w:asciiTheme="majorHAnsi" w:hAnsiTheme="majorHAnsi" w:cstheme="majorHAnsi"/>
          <w:sz w:val="24"/>
          <w:szCs w:val="24"/>
        </w:rPr>
        <w:t xml:space="preserve">sześćset </w:t>
      </w:r>
      <w:r w:rsidR="00BB2386">
        <w:rPr>
          <w:rFonts w:asciiTheme="majorHAnsi" w:hAnsiTheme="majorHAnsi" w:cstheme="majorHAnsi"/>
          <w:sz w:val="24"/>
          <w:szCs w:val="24"/>
        </w:rPr>
        <w:t>osiemnaście</w:t>
      </w:r>
      <w:r w:rsidR="003B01E7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3B01E7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BB2386">
        <w:rPr>
          <w:rFonts w:asciiTheme="majorHAnsi" w:hAnsiTheme="majorHAnsi" w:cstheme="majorHAnsi"/>
          <w:sz w:val="24"/>
          <w:szCs w:val="24"/>
        </w:rPr>
        <w:t>57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0E91E82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A3856"/>
    <w:rsid w:val="001F4CEB"/>
    <w:rsid w:val="00303825"/>
    <w:rsid w:val="003B01E7"/>
    <w:rsid w:val="0046014F"/>
    <w:rsid w:val="0071689C"/>
    <w:rsid w:val="007B08F3"/>
    <w:rsid w:val="00864D9B"/>
    <w:rsid w:val="008E1C5F"/>
    <w:rsid w:val="00A321E6"/>
    <w:rsid w:val="00AB6CC2"/>
    <w:rsid w:val="00BB2386"/>
    <w:rsid w:val="00DD4EF2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8</cp:revision>
  <dcterms:created xsi:type="dcterms:W3CDTF">2022-02-11T12:30:00Z</dcterms:created>
  <dcterms:modified xsi:type="dcterms:W3CDTF">2022-10-07T09:17:00Z</dcterms:modified>
</cp:coreProperties>
</file>