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7F7B1E6C" w:rsidR="004B619D" w:rsidRPr="004B619D" w:rsidRDefault="004B619D" w:rsidP="004B619D">
      <w:pPr>
        <w:pStyle w:val="Nagwek1"/>
        <w:spacing w:line="360" w:lineRule="auto"/>
        <w:rPr>
          <w:b/>
          <w:bCs/>
          <w:color w:val="auto"/>
        </w:rPr>
      </w:pPr>
      <w:r w:rsidRPr="004B619D">
        <w:rPr>
          <w:b/>
          <w:bCs/>
          <w:color w:val="auto"/>
        </w:rPr>
        <w:t xml:space="preserve">Ogłoszenie o </w:t>
      </w:r>
      <w:r w:rsidR="00620160">
        <w:rPr>
          <w:b/>
          <w:bCs/>
          <w:color w:val="auto"/>
        </w:rPr>
        <w:t>pierwszym</w:t>
      </w:r>
      <w:r w:rsidRPr="004B619D">
        <w:rPr>
          <w:b/>
          <w:bCs/>
          <w:color w:val="auto"/>
        </w:rPr>
        <w:t xml:space="preserve"> ustnym przetargu nieograniczonym na oddanie w najem na czas nieoznaczony lokalu użytkowego położonego na terenie miasta Piotrkowa Trybunalskiego przy ulicy </w:t>
      </w:r>
      <w:r w:rsidR="00620160">
        <w:rPr>
          <w:b/>
          <w:bCs/>
          <w:color w:val="auto"/>
        </w:rPr>
        <w:t>Wojska Polskiego 64</w:t>
      </w:r>
    </w:p>
    <w:p w14:paraId="53A02B90" w14:textId="62918B40"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znajdujący się na p</w:t>
      </w:r>
      <w:r w:rsidR="00620160">
        <w:rPr>
          <w:rFonts w:asciiTheme="majorHAnsi" w:hAnsiTheme="majorHAnsi" w:cstheme="majorHAnsi"/>
          <w:sz w:val="24"/>
          <w:szCs w:val="24"/>
        </w:rPr>
        <w:t>ierwszym piętrze</w:t>
      </w:r>
      <w:r w:rsidRPr="004B619D">
        <w:rPr>
          <w:rFonts w:asciiTheme="majorHAnsi" w:hAnsiTheme="majorHAnsi" w:cstheme="majorHAnsi"/>
          <w:sz w:val="24"/>
          <w:szCs w:val="24"/>
        </w:rPr>
        <w:t xml:space="preserve"> frontowego budynku </w:t>
      </w:r>
      <w:r w:rsidR="00620160">
        <w:rPr>
          <w:rFonts w:asciiTheme="majorHAnsi" w:hAnsiTheme="majorHAnsi" w:cstheme="majorHAnsi"/>
          <w:sz w:val="24"/>
          <w:szCs w:val="24"/>
        </w:rPr>
        <w:t xml:space="preserve">– pawilon handlowy </w:t>
      </w:r>
      <w:r w:rsidRPr="004B619D">
        <w:rPr>
          <w:rFonts w:asciiTheme="majorHAnsi" w:hAnsiTheme="majorHAnsi" w:cstheme="majorHAnsi"/>
          <w:sz w:val="24"/>
          <w:szCs w:val="24"/>
        </w:rPr>
        <w:t xml:space="preserve">w Piotrkowie Trybunalskim, przy ulicy </w:t>
      </w:r>
      <w:r w:rsidR="00620160">
        <w:rPr>
          <w:rFonts w:asciiTheme="majorHAnsi" w:hAnsiTheme="majorHAnsi" w:cstheme="majorHAnsi"/>
          <w:sz w:val="24"/>
          <w:szCs w:val="24"/>
        </w:rPr>
        <w:t>Wojska Polskiego 64</w:t>
      </w:r>
      <w:r w:rsidR="004C0F2B">
        <w:rPr>
          <w:rFonts w:asciiTheme="majorHAnsi" w:hAnsiTheme="majorHAnsi" w:cstheme="majorHAnsi"/>
          <w:sz w:val="24"/>
          <w:szCs w:val="24"/>
        </w:rPr>
        <w:t>,</w:t>
      </w:r>
      <w:r w:rsidRPr="004B619D">
        <w:rPr>
          <w:rFonts w:asciiTheme="majorHAnsi" w:hAnsiTheme="majorHAnsi" w:cstheme="majorHAnsi"/>
          <w:sz w:val="24"/>
          <w:szCs w:val="24"/>
        </w:rPr>
        <w:t xml:space="preserve"> na nieruchomości stanowiącej własność gminy Miasto Piotrków Trybunalski, oznaczonej numerem działki </w:t>
      </w:r>
      <w:r w:rsidR="00620160">
        <w:rPr>
          <w:rFonts w:asciiTheme="majorHAnsi" w:hAnsiTheme="majorHAnsi" w:cstheme="majorHAnsi"/>
          <w:sz w:val="24"/>
          <w:szCs w:val="24"/>
        </w:rPr>
        <w:t>44</w:t>
      </w:r>
      <w:r w:rsidRPr="004B619D">
        <w:rPr>
          <w:rFonts w:asciiTheme="majorHAnsi" w:hAnsiTheme="majorHAnsi" w:cstheme="majorHAnsi"/>
          <w:sz w:val="24"/>
          <w:szCs w:val="24"/>
        </w:rPr>
        <w:t xml:space="preserve"> o powierzchni działki </w:t>
      </w:r>
      <w:r w:rsidR="00620160">
        <w:rPr>
          <w:rFonts w:asciiTheme="majorHAnsi" w:hAnsiTheme="majorHAnsi" w:cstheme="majorHAnsi"/>
          <w:sz w:val="24"/>
          <w:szCs w:val="24"/>
        </w:rPr>
        <w:t>2783</w:t>
      </w:r>
      <w:r w:rsidRPr="004B619D">
        <w:rPr>
          <w:rFonts w:asciiTheme="majorHAnsi" w:hAnsiTheme="majorHAnsi" w:cstheme="majorHAnsi"/>
          <w:sz w:val="24"/>
          <w:szCs w:val="24"/>
        </w:rPr>
        <w:t xml:space="preserve"> m2, dla której prowadzona jest Księga Wieczysta numer PT1P/000</w:t>
      </w:r>
      <w:r w:rsidR="00620160">
        <w:rPr>
          <w:rFonts w:asciiTheme="majorHAnsi" w:hAnsiTheme="majorHAnsi" w:cstheme="majorHAnsi"/>
          <w:sz w:val="24"/>
          <w:szCs w:val="24"/>
        </w:rPr>
        <w:t>0</w:t>
      </w:r>
      <w:r w:rsidRPr="004B619D">
        <w:rPr>
          <w:rFonts w:asciiTheme="majorHAnsi" w:hAnsiTheme="majorHAnsi" w:cstheme="majorHAnsi"/>
          <w:sz w:val="24"/>
          <w:szCs w:val="24"/>
        </w:rPr>
        <w:t>1</w:t>
      </w:r>
      <w:r w:rsidR="00620160">
        <w:rPr>
          <w:rFonts w:asciiTheme="majorHAnsi" w:hAnsiTheme="majorHAnsi" w:cstheme="majorHAnsi"/>
          <w:sz w:val="24"/>
          <w:szCs w:val="24"/>
        </w:rPr>
        <w:t>396</w:t>
      </w:r>
      <w:r w:rsidRPr="004B619D">
        <w:rPr>
          <w:rFonts w:asciiTheme="majorHAnsi" w:hAnsiTheme="majorHAnsi" w:cstheme="majorHAnsi"/>
          <w:sz w:val="24"/>
          <w:szCs w:val="24"/>
        </w:rPr>
        <w:t>/5.</w:t>
      </w:r>
    </w:p>
    <w:p w14:paraId="42B40C54" w14:textId="6F7048F5"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620160">
        <w:rPr>
          <w:rFonts w:asciiTheme="majorHAnsi" w:hAnsiTheme="majorHAnsi" w:cstheme="majorHAnsi"/>
          <w:sz w:val="24"/>
          <w:szCs w:val="24"/>
        </w:rPr>
        <w:t>95,24</w:t>
      </w:r>
      <w:r w:rsidRPr="004B619D">
        <w:rPr>
          <w:rFonts w:asciiTheme="majorHAnsi" w:hAnsiTheme="majorHAnsi" w:cstheme="majorHAnsi"/>
          <w:sz w:val="24"/>
          <w:szCs w:val="24"/>
        </w:rPr>
        <w:t xml:space="preserve"> m2, lokal składa się z </w:t>
      </w:r>
      <w:r w:rsidR="00620160">
        <w:rPr>
          <w:rFonts w:asciiTheme="majorHAnsi" w:hAnsiTheme="majorHAnsi" w:cstheme="majorHAnsi"/>
          <w:sz w:val="24"/>
          <w:szCs w:val="24"/>
        </w:rPr>
        <w:t>pięciu</w:t>
      </w:r>
      <w:r w:rsidRPr="004B619D">
        <w:rPr>
          <w:rFonts w:asciiTheme="majorHAnsi" w:hAnsiTheme="majorHAnsi" w:cstheme="majorHAnsi"/>
          <w:sz w:val="24"/>
          <w:szCs w:val="24"/>
        </w:rPr>
        <w:t xml:space="preserve"> pomieszcze</w:t>
      </w:r>
      <w:r w:rsidR="00620160">
        <w:rPr>
          <w:rFonts w:asciiTheme="majorHAnsi" w:hAnsiTheme="majorHAnsi" w:cstheme="majorHAnsi"/>
          <w:sz w:val="24"/>
          <w:szCs w:val="24"/>
        </w:rPr>
        <w:t>ń</w:t>
      </w:r>
      <w:r w:rsidRPr="004B619D">
        <w:rPr>
          <w:rFonts w:asciiTheme="majorHAnsi" w:hAnsiTheme="majorHAnsi" w:cstheme="majorHAnsi"/>
          <w:sz w:val="24"/>
          <w:szCs w:val="24"/>
        </w:rPr>
        <w:t xml:space="preserve">, </w:t>
      </w:r>
      <w:r w:rsidR="00620160">
        <w:rPr>
          <w:rFonts w:asciiTheme="majorHAnsi" w:hAnsiTheme="majorHAnsi" w:cstheme="majorHAnsi"/>
          <w:sz w:val="24"/>
          <w:szCs w:val="24"/>
        </w:rPr>
        <w:t xml:space="preserve">dwóch pomieszczeń </w:t>
      </w:r>
      <w:r w:rsidR="00324824">
        <w:rPr>
          <w:rFonts w:asciiTheme="majorHAnsi" w:hAnsiTheme="majorHAnsi" w:cstheme="majorHAnsi"/>
          <w:sz w:val="24"/>
          <w:szCs w:val="24"/>
        </w:rPr>
        <w:t>sanitariat</w:t>
      </w:r>
      <w:r w:rsidR="00620160">
        <w:rPr>
          <w:rFonts w:asciiTheme="majorHAnsi" w:hAnsiTheme="majorHAnsi" w:cstheme="majorHAnsi"/>
          <w:sz w:val="24"/>
          <w:szCs w:val="24"/>
        </w:rPr>
        <w:t>u</w:t>
      </w:r>
      <w:r w:rsidR="00324824">
        <w:rPr>
          <w:rFonts w:asciiTheme="majorHAnsi" w:hAnsiTheme="majorHAnsi" w:cstheme="majorHAnsi"/>
          <w:sz w:val="24"/>
          <w:szCs w:val="24"/>
        </w:rPr>
        <w:t xml:space="preserve"> i </w:t>
      </w:r>
      <w:r w:rsidR="00620160">
        <w:rPr>
          <w:rFonts w:asciiTheme="majorHAnsi" w:hAnsiTheme="majorHAnsi" w:cstheme="majorHAnsi"/>
          <w:sz w:val="24"/>
          <w:szCs w:val="24"/>
        </w:rPr>
        <w:t>korytarza</w:t>
      </w:r>
      <w:r w:rsidRPr="004B619D">
        <w:rPr>
          <w:rFonts w:asciiTheme="majorHAnsi" w:hAnsiTheme="majorHAnsi" w:cstheme="majorHAnsi"/>
          <w:sz w:val="24"/>
          <w:szCs w:val="24"/>
        </w:rPr>
        <w:t>. Wyposażony jest w instalację wodno-kanalizacyjną, instalację elektryczną.</w:t>
      </w:r>
    </w:p>
    <w:p w14:paraId="1049C444"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Ogrzewanie lokalu: brak.</w:t>
      </w:r>
    </w:p>
    <w:p w14:paraId="78FB1EB2" w14:textId="243C2414"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remont wnętrza. Zakres prac remontowych do wykonania w przedmiotowym lokalu użytkowym obciążających przyszłego najemcę obejmuje: </w:t>
      </w:r>
      <w:r w:rsidR="00620160">
        <w:rPr>
          <w:rFonts w:asciiTheme="majorHAnsi" w:hAnsiTheme="majorHAnsi" w:cstheme="majorHAnsi"/>
          <w:sz w:val="24"/>
          <w:szCs w:val="24"/>
        </w:rPr>
        <w:t xml:space="preserve">częściowa naprawa tynków ścian wraz z malowaniem całego lokalu; wymiana muszli; </w:t>
      </w:r>
      <w:proofErr w:type="spellStart"/>
      <w:r w:rsidR="00620160">
        <w:rPr>
          <w:rFonts w:asciiTheme="majorHAnsi" w:hAnsiTheme="majorHAnsi" w:cstheme="majorHAnsi"/>
          <w:sz w:val="24"/>
          <w:szCs w:val="24"/>
        </w:rPr>
        <w:t>dolnopłuka</w:t>
      </w:r>
      <w:proofErr w:type="spellEnd"/>
      <w:r w:rsidR="00620160">
        <w:rPr>
          <w:rFonts w:asciiTheme="majorHAnsi" w:hAnsiTheme="majorHAnsi" w:cstheme="majorHAnsi"/>
          <w:sz w:val="24"/>
          <w:szCs w:val="24"/>
        </w:rPr>
        <w:t xml:space="preserve">; wymiana bojlera elektrycznego; konserwacja płytek ceramicznych (czyszczenie); uzupełnienie osprzętu elektrycznego; zamontowanie drzwi wewnętrznych – 3 sztuki; </w:t>
      </w:r>
      <w:r w:rsidRPr="004B619D">
        <w:rPr>
          <w:rFonts w:asciiTheme="majorHAnsi" w:hAnsiTheme="majorHAnsi" w:cstheme="majorHAnsi"/>
          <w:sz w:val="24"/>
          <w:szCs w:val="24"/>
        </w:rPr>
        <w:t>wyposażenie lokalu w źródło grzewcze, przystosowanie instalacji elektrycznej do własnych potrzeb</w:t>
      </w:r>
      <w:r w:rsidR="005A1106">
        <w:rPr>
          <w:rFonts w:asciiTheme="majorHAnsi" w:hAnsiTheme="majorHAnsi" w:cstheme="majorHAnsi"/>
          <w:sz w:val="24"/>
          <w:szCs w:val="24"/>
        </w:rPr>
        <w:t>;</w:t>
      </w:r>
      <w:r w:rsidRPr="004B619D">
        <w:rPr>
          <w:rFonts w:asciiTheme="majorHAnsi" w:hAnsiTheme="majorHAnsi" w:cstheme="majorHAnsi"/>
          <w:sz w:val="24"/>
          <w:szCs w:val="24"/>
        </w:rPr>
        <w:t xml:space="preserve"> załatwienie formalności w ZE związanych z </w:t>
      </w:r>
      <w:r w:rsidR="00C279A5">
        <w:rPr>
          <w:rFonts w:asciiTheme="majorHAnsi" w:hAnsiTheme="majorHAnsi" w:cstheme="majorHAnsi"/>
          <w:sz w:val="24"/>
          <w:szCs w:val="24"/>
        </w:rPr>
        <w:t>zawarciem</w:t>
      </w:r>
      <w:r w:rsidRPr="004B619D">
        <w:rPr>
          <w:rFonts w:asciiTheme="majorHAnsi" w:hAnsiTheme="majorHAnsi" w:cstheme="majorHAnsi"/>
          <w:sz w:val="24"/>
          <w:szCs w:val="24"/>
        </w:rPr>
        <w:t xml:space="preserve"> umowy na dostawę energii.</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p>
    <w:p w14:paraId="12D4C603" w14:textId="0CD423CA"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EC3E29">
        <w:rPr>
          <w:rFonts w:asciiTheme="majorHAnsi" w:hAnsiTheme="majorHAnsi" w:cstheme="majorHAnsi"/>
          <w:sz w:val="24"/>
          <w:szCs w:val="24"/>
        </w:rPr>
        <w:t>1</w:t>
      </w:r>
      <w:r w:rsidR="00257327">
        <w:rPr>
          <w:rFonts w:asciiTheme="majorHAnsi" w:hAnsiTheme="majorHAnsi" w:cstheme="majorHAnsi"/>
          <w:sz w:val="24"/>
          <w:szCs w:val="24"/>
        </w:rPr>
        <w:t>5</w:t>
      </w:r>
      <w:r w:rsidRPr="004B619D">
        <w:rPr>
          <w:rFonts w:asciiTheme="majorHAnsi" w:hAnsiTheme="majorHAnsi" w:cstheme="majorHAnsi"/>
          <w:sz w:val="24"/>
          <w:szCs w:val="24"/>
        </w:rPr>
        <w:t xml:space="preserve"> </w:t>
      </w:r>
      <w:r w:rsidR="00257327">
        <w:rPr>
          <w:rFonts w:asciiTheme="majorHAnsi" w:hAnsiTheme="majorHAnsi" w:cstheme="majorHAnsi"/>
          <w:sz w:val="24"/>
          <w:szCs w:val="24"/>
        </w:rPr>
        <w:t>grudnia</w:t>
      </w:r>
      <w:r w:rsidRPr="004B619D">
        <w:rPr>
          <w:rFonts w:asciiTheme="majorHAnsi" w:hAnsiTheme="majorHAnsi" w:cstheme="majorHAnsi"/>
          <w:sz w:val="24"/>
          <w:szCs w:val="24"/>
        </w:rPr>
        <w:t xml:space="preserve"> 2022 roku o godzinie </w:t>
      </w:r>
      <w:r w:rsidR="005A1106">
        <w:rPr>
          <w:rFonts w:asciiTheme="majorHAnsi" w:hAnsiTheme="majorHAnsi" w:cstheme="majorHAnsi"/>
          <w:sz w:val="24"/>
          <w:szCs w:val="24"/>
        </w:rPr>
        <w:t>11</w:t>
      </w:r>
      <w:r w:rsidRPr="004B619D">
        <w:rPr>
          <w:rFonts w:asciiTheme="majorHAnsi" w:hAnsiTheme="majorHAnsi" w:cstheme="majorHAnsi"/>
          <w:sz w:val="24"/>
          <w:szCs w:val="24"/>
        </w:rPr>
        <w:t>:</w:t>
      </w:r>
      <w:r w:rsidR="000E3698">
        <w:rPr>
          <w:rFonts w:asciiTheme="majorHAnsi" w:hAnsiTheme="majorHAnsi" w:cstheme="majorHAnsi"/>
          <w:sz w:val="24"/>
          <w:szCs w:val="24"/>
        </w:rPr>
        <w:t>0</w:t>
      </w:r>
      <w:r w:rsidRPr="004B619D">
        <w:rPr>
          <w:rFonts w:asciiTheme="majorHAnsi" w:hAnsiTheme="majorHAnsi" w:cstheme="majorHAnsi"/>
          <w:sz w:val="24"/>
          <w:szCs w:val="24"/>
        </w:rPr>
        <w:t>0 – Budynek B</w:t>
      </w:r>
      <w:r w:rsidR="0003499C">
        <w:rPr>
          <w:rFonts w:asciiTheme="majorHAnsi" w:hAnsiTheme="majorHAnsi" w:cstheme="majorHAnsi"/>
          <w:sz w:val="24"/>
          <w:szCs w:val="24"/>
        </w:rPr>
        <w:t>, pokój n</w:t>
      </w:r>
      <w:r w:rsidR="00472A15">
        <w:rPr>
          <w:rFonts w:asciiTheme="majorHAnsi" w:hAnsiTheme="majorHAnsi" w:cstheme="majorHAnsi"/>
          <w:sz w:val="24"/>
          <w:szCs w:val="24"/>
        </w:rPr>
        <w:t>ume</w:t>
      </w:r>
      <w:r w:rsidR="0003499C">
        <w:rPr>
          <w:rFonts w:asciiTheme="majorHAnsi" w:hAnsiTheme="majorHAnsi" w:cstheme="majorHAnsi"/>
          <w:sz w:val="24"/>
          <w:szCs w:val="24"/>
        </w:rPr>
        <w:t>r 26</w:t>
      </w:r>
      <w:r w:rsidRPr="004B619D">
        <w:rPr>
          <w:rFonts w:asciiTheme="majorHAnsi" w:hAnsiTheme="majorHAnsi" w:cstheme="majorHAnsi"/>
          <w:sz w:val="24"/>
          <w:szCs w:val="24"/>
        </w:rPr>
        <w:t>.</w:t>
      </w:r>
    </w:p>
    <w:p w14:paraId="07BD2940" w14:textId="1F113BAD"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 xml:space="preserve">Cena wywoławcza: </w:t>
      </w:r>
      <w:r w:rsidR="005A1106">
        <w:rPr>
          <w:rFonts w:asciiTheme="majorHAnsi" w:hAnsiTheme="majorHAnsi" w:cstheme="majorHAnsi"/>
          <w:sz w:val="24"/>
          <w:szCs w:val="24"/>
        </w:rPr>
        <w:t>2.381,00</w:t>
      </w:r>
      <w:r w:rsidRPr="004B619D">
        <w:rPr>
          <w:rFonts w:asciiTheme="majorHAnsi" w:hAnsiTheme="majorHAnsi" w:cstheme="majorHAnsi"/>
          <w:sz w:val="24"/>
          <w:szCs w:val="24"/>
        </w:rPr>
        <w:t xml:space="preserve"> zł - jako miesięczny czynsz netto ustalony dla danego lokalu.</w:t>
      </w:r>
    </w:p>
    <w:p w14:paraId="7EE42CA6" w14:textId="63BADF8E"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Wadium za lokal użytkowy przy ulicy Narutowicza 19/Sienkiewicza 15 wynosi: </w:t>
      </w:r>
      <w:r w:rsidR="005A1106">
        <w:rPr>
          <w:rFonts w:asciiTheme="majorHAnsi" w:hAnsiTheme="majorHAnsi" w:cstheme="majorHAnsi"/>
          <w:sz w:val="24"/>
          <w:szCs w:val="24"/>
        </w:rPr>
        <w:t>2.381,00</w:t>
      </w:r>
      <w:r w:rsidRPr="004B619D">
        <w:rPr>
          <w:rFonts w:asciiTheme="majorHAnsi" w:hAnsiTheme="majorHAnsi" w:cstheme="majorHAnsi"/>
          <w:sz w:val="24"/>
          <w:szCs w:val="24"/>
        </w:rPr>
        <w:t xml:space="preserve"> zł, (słownie złotych: </w:t>
      </w:r>
      <w:r w:rsidR="005A1106">
        <w:rPr>
          <w:rFonts w:asciiTheme="majorHAnsi" w:hAnsiTheme="majorHAnsi" w:cstheme="majorHAnsi"/>
          <w:sz w:val="24"/>
          <w:szCs w:val="24"/>
        </w:rPr>
        <w:t>dwa tysiące trzysta osiemdziesiąt jeden</w:t>
      </w:r>
      <w:r w:rsidR="000E3698">
        <w:rPr>
          <w:rFonts w:asciiTheme="majorHAnsi" w:hAnsiTheme="majorHAnsi" w:cstheme="majorHAnsi"/>
          <w:sz w:val="24"/>
          <w:szCs w:val="24"/>
        </w:rPr>
        <w:t xml:space="preserve"> </w:t>
      </w:r>
      <w:r w:rsidRPr="004B619D">
        <w:rPr>
          <w:rFonts w:asciiTheme="majorHAnsi" w:hAnsiTheme="majorHAnsi" w:cstheme="majorHAnsi"/>
          <w:sz w:val="24"/>
          <w:szCs w:val="24"/>
        </w:rPr>
        <w:t>złot</w:t>
      </w:r>
      <w:r w:rsidR="000E3698">
        <w:rPr>
          <w:rFonts w:asciiTheme="majorHAnsi" w:hAnsiTheme="majorHAnsi" w:cstheme="majorHAnsi"/>
          <w:sz w:val="24"/>
          <w:szCs w:val="24"/>
        </w:rPr>
        <w:t>ych</w:t>
      </w:r>
      <w:r w:rsidRPr="004B619D">
        <w:rPr>
          <w:rFonts w:asciiTheme="majorHAnsi" w:hAnsiTheme="majorHAnsi" w:cstheme="majorHAnsi"/>
          <w:sz w:val="24"/>
          <w:szCs w:val="24"/>
        </w:rPr>
        <w:t xml:space="preserve"> </w:t>
      </w:r>
      <w:r w:rsidR="005A1106">
        <w:rPr>
          <w:rFonts w:asciiTheme="majorHAnsi" w:hAnsiTheme="majorHAnsi" w:cstheme="majorHAnsi"/>
          <w:sz w:val="24"/>
          <w:szCs w:val="24"/>
        </w:rPr>
        <w:t>00</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AF1FF9">
        <w:rPr>
          <w:rFonts w:asciiTheme="majorHAnsi" w:hAnsiTheme="majorHAnsi" w:cstheme="majorHAnsi"/>
          <w:sz w:val="24"/>
          <w:szCs w:val="24"/>
        </w:rPr>
        <w:t>09</w:t>
      </w:r>
      <w:r w:rsidRPr="004B619D">
        <w:rPr>
          <w:rFonts w:asciiTheme="majorHAnsi" w:hAnsiTheme="majorHAnsi" w:cstheme="majorHAnsi"/>
          <w:sz w:val="24"/>
          <w:szCs w:val="24"/>
        </w:rPr>
        <w:t xml:space="preserve"> </w:t>
      </w:r>
      <w:r w:rsidR="00AF1FF9">
        <w:rPr>
          <w:rFonts w:asciiTheme="majorHAnsi" w:hAnsiTheme="majorHAnsi" w:cstheme="majorHAnsi"/>
          <w:sz w:val="24"/>
          <w:szCs w:val="24"/>
        </w:rPr>
        <w:t>grudnia</w:t>
      </w:r>
      <w:r w:rsidRPr="004B619D">
        <w:rPr>
          <w:rFonts w:asciiTheme="majorHAnsi" w:hAnsiTheme="majorHAnsi" w:cstheme="majorHAnsi"/>
          <w:sz w:val="24"/>
          <w:szCs w:val="24"/>
        </w:rPr>
        <w:t xml:space="preserve">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47EEA23E"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AF1FF9">
        <w:rPr>
          <w:rFonts w:asciiTheme="majorHAnsi" w:hAnsiTheme="majorHAnsi" w:cstheme="majorHAnsi"/>
          <w:sz w:val="24"/>
          <w:szCs w:val="24"/>
        </w:rPr>
        <w:t>09</w:t>
      </w:r>
      <w:r w:rsidRPr="004B619D">
        <w:rPr>
          <w:rFonts w:asciiTheme="majorHAnsi" w:hAnsiTheme="majorHAnsi" w:cstheme="majorHAnsi"/>
          <w:sz w:val="24"/>
          <w:szCs w:val="24"/>
        </w:rPr>
        <w:t xml:space="preserve"> </w:t>
      </w:r>
      <w:r w:rsidR="00AF1FF9">
        <w:rPr>
          <w:rFonts w:asciiTheme="majorHAnsi" w:hAnsiTheme="majorHAnsi" w:cstheme="majorHAnsi"/>
          <w:sz w:val="24"/>
          <w:szCs w:val="24"/>
        </w:rPr>
        <w:t>grudnia</w:t>
      </w:r>
      <w:r w:rsidRPr="004B619D">
        <w:rPr>
          <w:rFonts w:asciiTheme="majorHAnsi" w:hAnsiTheme="majorHAnsi" w:cstheme="majorHAnsi"/>
          <w:sz w:val="24"/>
          <w:szCs w:val="24"/>
        </w:rPr>
        <w:t xml:space="preserve"> 2022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 xml:space="preserve">zaświadczenie o niezaleganiu z zapłatą należności wobec Towarzystwa Budownictwa Społecznego Spółka z ograniczoną odpowiedzialnością w Piotrkowie Trybunalskim, </w:t>
      </w:r>
      <w:r w:rsidRPr="00B01A32">
        <w:rPr>
          <w:rFonts w:asciiTheme="majorHAnsi" w:hAnsiTheme="majorHAnsi" w:cstheme="majorHAnsi"/>
          <w:sz w:val="24"/>
          <w:szCs w:val="24"/>
        </w:rPr>
        <w:lastRenderedPageBreak/>
        <w:t>/siedziba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dowód wpłaty wadium,</w:t>
      </w:r>
    </w:p>
    <w:p w14:paraId="081362BD"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 budynek B, pokój numer 25, telefon 44/732-70-63).</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05B0B18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5A1106">
        <w:rPr>
          <w:rFonts w:asciiTheme="majorHAnsi" w:hAnsiTheme="majorHAnsi" w:cstheme="majorHAnsi"/>
          <w:sz w:val="24"/>
          <w:szCs w:val="24"/>
        </w:rPr>
        <w:t>pierwszego</w:t>
      </w:r>
      <w:r w:rsidRPr="00FA2233">
        <w:rPr>
          <w:rFonts w:asciiTheme="majorHAnsi" w:hAnsiTheme="majorHAnsi" w:cstheme="majorHAnsi"/>
          <w:sz w:val="24"/>
          <w:szCs w:val="24"/>
        </w:rPr>
        <w:t xml:space="preserve"> ustnego przetargu nieograniczonego na najem lokalu użytkowego położonego w Piotrkowie Tryb., przy ulicy </w:t>
      </w:r>
      <w:r w:rsidR="005A1106">
        <w:rPr>
          <w:rFonts w:asciiTheme="majorHAnsi" w:hAnsiTheme="majorHAnsi" w:cstheme="majorHAnsi"/>
          <w:sz w:val="24"/>
          <w:szCs w:val="24"/>
        </w:rPr>
        <w:t>Wojska Polskiego 64</w:t>
      </w:r>
      <w:r w:rsidRPr="00FA2233">
        <w:rPr>
          <w:rFonts w:asciiTheme="majorHAnsi" w:hAnsiTheme="majorHAnsi" w:cstheme="majorHAnsi"/>
          <w:sz w:val="24"/>
          <w:szCs w:val="24"/>
        </w:rPr>
        <w:t xml:space="preserve"> o powierzchni </w:t>
      </w:r>
      <w:r w:rsidR="005A1106">
        <w:rPr>
          <w:rFonts w:asciiTheme="majorHAnsi" w:hAnsiTheme="majorHAnsi" w:cstheme="majorHAnsi"/>
          <w:sz w:val="24"/>
          <w:szCs w:val="24"/>
        </w:rPr>
        <w:t>95,24</w:t>
      </w:r>
      <w:r w:rsidRPr="00FA2233">
        <w:rPr>
          <w:rFonts w:asciiTheme="majorHAnsi" w:hAnsiTheme="majorHAnsi" w:cstheme="majorHAnsi"/>
          <w:sz w:val="24"/>
          <w:szCs w:val="24"/>
        </w:rPr>
        <w:t xml:space="preserve"> m2.</w:t>
      </w:r>
    </w:p>
    <w:p w14:paraId="5FD55B6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B: – pokój numer 25, natomiast informację o stanie technicznym lokalu można uzyskać w administracji budynku, to jest ZGM Spółka z ograniczoną odpowiedzialnością w Bytomiu Biuro Obsługi Klienta w Piotrkowie Trybunalskim, ulica Dąbrowskiego 4 (telefon 691420232). Informacji udziela się również telefonicznie pod numerem telefonu 44/732-70-63.</w:t>
      </w:r>
    </w:p>
    <w:p w14:paraId="2167351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Przed przystąpieniem do przetargu należy dokonać oględzin lokalu w obecności pracownika administracji, to jest ZGM Spółka z ograniczoną odpowiedzialnością w Bytomiu Biuro Obsługi Klienta w Piotrkowie Trybunalskim, ulica Dąbrowskiego 4 (telefon 691420232). 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lastRenderedPageBreak/>
        <w:t>W przypadku osób fizycznych pozostających w związku małżeńskim, posiadających ustawową wspólność majątkową, do udziału w przetargu wymagana 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176C8770"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odrębnych umów z dostawcami w zakresie energii elektrycznej.</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w:t>
      </w:r>
      <w:r w:rsidRPr="004B619D">
        <w:rPr>
          <w:rFonts w:asciiTheme="majorHAnsi" w:hAnsiTheme="majorHAnsi" w:cstheme="majorHAnsi"/>
          <w:sz w:val="24"/>
          <w:szCs w:val="24"/>
        </w:rPr>
        <w:lastRenderedPageBreak/>
        <w:t xml:space="preserve">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03499C"/>
    <w:rsid w:val="000E3698"/>
    <w:rsid w:val="001F4CEB"/>
    <w:rsid w:val="002339B5"/>
    <w:rsid w:val="00257327"/>
    <w:rsid w:val="00324824"/>
    <w:rsid w:val="00472A15"/>
    <w:rsid w:val="004B619D"/>
    <w:rsid w:val="004C0F2B"/>
    <w:rsid w:val="0057478F"/>
    <w:rsid w:val="005A1106"/>
    <w:rsid w:val="005A5F8D"/>
    <w:rsid w:val="00620160"/>
    <w:rsid w:val="006A738A"/>
    <w:rsid w:val="00741DA0"/>
    <w:rsid w:val="007B08F3"/>
    <w:rsid w:val="008261B7"/>
    <w:rsid w:val="009D2AF4"/>
    <w:rsid w:val="009D2CE8"/>
    <w:rsid w:val="009D479A"/>
    <w:rsid w:val="00AF1FF9"/>
    <w:rsid w:val="00B01A32"/>
    <w:rsid w:val="00B31E62"/>
    <w:rsid w:val="00C10F7F"/>
    <w:rsid w:val="00C279A5"/>
    <w:rsid w:val="00CC1A9E"/>
    <w:rsid w:val="00CE0B69"/>
    <w:rsid w:val="00D1613E"/>
    <w:rsid w:val="00D360D4"/>
    <w:rsid w:val="00EC3E29"/>
    <w:rsid w:val="00F17EBE"/>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334</TotalTime>
  <Pages>6</Pages>
  <Words>1587</Words>
  <Characters>9528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22-12-15_Trzeci_Przetarg_Narutowicza_19-Sienkiewicza_15_27,43_m2_lokal_uzytkowy</vt:lpstr>
    </vt:vector>
  </TitlesOfParts>
  <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22-12-15_Trzeci_Przetarg_Narutowicza_19-Sienkiewicza_15_27,43_m2_lokal_uzytkowy</dc:title>
  <dc:subject/>
  <dc:creator>Hanna Komar</dc:creator>
  <cp:keywords/>
  <dc:description/>
  <cp:lastModifiedBy>Hanna Komar</cp:lastModifiedBy>
  <cp:revision>15</cp:revision>
  <dcterms:created xsi:type="dcterms:W3CDTF">2022-02-11T12:34:00Z</dcterms:created>
  <dcterms:modified xsi:type="dcterms:W3CDTF">2022-11-23T10:56:00Z</dcterms:modified>
</cp:coreProperties>
</file>