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B1A0" w14:textId="77777777" w:rsidR="00C05DB5" w:rsidRPr="0062458A" w:rsidRDefault="00C05DB5" w:rsidP="00C05DB5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62458A"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62E3503A" w14:textId="76AD44BB" w:rsidR="00C05DB5" w:rsidRPr="0062458A" w:rsidRDefault="00C05DB5" w:rsidP="00C05DB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2458A"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</w:t>
      </w:r>
      <w:r w:rsidR="00BF766A">
        <w:rPr>
          <w:rFonts w:asciiTheme="majorHAnsi" w:hAnsiTheme="majorHAnsi" w:cstheme="majorHAnsi"/>
          <w:sz w:val="24"/>
          <w:szCs w:val="24"/>
        </w:rPr>
        <w:t>1</w:t>
      </w:r>
      <w:r w:rsidRPr="0062458A">
        <w:rPr>
          <w:rFonts w:asciiTheme="majorHAnsi" w:hAnsiTheme="majorHAnsi" w:cstheme="majorHAnsi"/>
          <w:sz w:val="24"/>
          <w:szCs w:val="24"/>
        </w:rPr>
        <w:t>.</w:t>
      </w:r>
      <w:r w:rsidR="00BF766A">
        <w:rPr>
          <w:rFonts w:asciiTheme="majorHAnsi" w:hAnsiTheme="majorHAnsi" w:cstheme="majorHAnsi"/>
          <w:sz w:val="24"/>
          <w:szCs w:val="24"/>
        </w:rPr>
        <w:t>435</w:t>
      </w:r>
      <w:r w:rsidRPr="0062458A">
        <w:rPr>
          <w:rFonts w:asciiTheme="majorHAnsi" w:hAnsiTheme="majorHAnsi" w:cstheme="majorHAnsi"/>
          <w:sz w:val="24"/>
          <w:szCs w:val="24"/>
        </w:rPr>
        <w:t>.</w:t>
      </w:r>
      <w:r w:rsidR="00BF766A">
        <w:rPr>
          <w:rFonts w:asciiTheme="majorHAnsi" w:hAnsiTheme="majorHAnsi" w:cstheme="majorHAnsi"/>
          <w:sz w:val="24"/>
          <w:szCs w:val="24"/>
        </w:rPr>
        <w:t>80</w:t>
      </w:r>
      <w:r w:rsidRPr="0062458A">
        <w:rPr>
          <w:rFonts w:asciiTheme="majorHAnsi" w:hAnsiTheme="majorHAnsi" w:cstheme="majorHAnsi"/>
          <w:sz w:val="24"/>
          <w:szCs w:val="24"/>
        </w:rPr>
        <w:t>0,00 zł, zwanym w treści umowy „Wynajmującym“, reprezentowanym prze</w:t>
      </w:r>
      <w:r w:rsidR="00106EC5">
        <w:rPr>
          <w:rFonts w:asciiTheme="majorHAnsi" w:hAnsiTheme="majorHAnsi" w:cstheme="majorHAnsi"/>
          <w:sz w:val="24"/>
          <w:szCs w:val="24"/>
        </w:rPr>
        <w:t>z</w:t>
      </w:r>
      <w:r w:rsidRPr="0062458A">
        <w:rPr>
          <w:rFonts w:asciiTheme="majorHAnsi" w:hAnsiTheme="majorHAnsi" w:cstheme="majorHAnsi"/>
          <w:sz w:val="24"/>
          <w:szCs w:val="24"/>
        </w:rPr>
        <w:t>:</w:t>
      </w:r>
    </w:p>
    <w:p w14:paraId="4589AF4A" w14:textId="4C88D6F4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</w:t>
      </w:r>
      <w:r w:rsidR="00D06CDE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-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Prezesa Zarządu Spółki</w:t>
      </w:r>
    </w:p>
    <w:p w14:paraId="4E168B24" w14:textId="794C5F32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</w:t>
      </w:r>
    </w:p>
    <w:p w14:paraId="51E4B513" w14:textId="01ECEB44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</w:t>
      </w:r>
    </w:p>
    <w:p w14:paraId="4E03814E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77845A4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2B88914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3139A32A" w14:textId="72CC57AE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B35445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158BC5C1" w14:textId="72A238D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2E322A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D473FD0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7167DE22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8C1BACF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7B2865CC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7D631B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F3DA420" w14:textId="6A679D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CE4262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25D56C8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07B0BF4D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22A79B0E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12F436C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3DE5A60A" w14:textId="66E723F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1FA740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0F5FFF05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0C72234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2278185B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744B3173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03B4F32E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4FE1DC7D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26D48AC4" w14:textId="75F85EA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2DC557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19C8D03E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47E98B9A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659D6BC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633DCE5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5522FB1C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3A0850E4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C140DF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5869E14D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70F535F0" w14:textId="3AEB8AF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2338C5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0445855B" w14:textId="6D3A40C0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A19B8D7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7D50691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5269C942" w14:textId="1C95850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F5AC7F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18B6F4AD" w14:textId="5017BF05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DD55A6D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3CFAEFA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01C97ECB" w14:textId="548A8C8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A11D50A" w14:textId="361E61C4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0926A952" w14:textId="77777777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2B3A5A40" w14:textId="615A73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8A50A36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4225066A" w14:textId="4EA542DF" w:rsidR="001F4CEB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:</w:t>
      </w:r>
    </w:p>
    <w:sectPr w:rsidR="001F4CEB" w:rsidRPr="0062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564159">
    <w:abstractNumId w:val="0"/>
  </w:num>
  <w:num w:numId="2" w16cid:durableId="1619993953">
    <w:abstractNumId w:val="1"/>
  </w:num>
  <w:num w:numId="3" w16cid:durableId="1695494050">
    <w:abstractNumId w:val="7"/>
  </w:num>
  <w:num w:numId="4" w16cid:durableId="2077168574">
    <w:abstractNumId w:val="6"/>
  </w:num>
  <w:num w:numId="5" w16cid:durableId="1757900343">
    <w:abstractNumId w:val="5"/>
  </w:num>
  <w:num w:numId="6" w16cid:durableId="1017973076">
    <w:abstractNumId w:val="4"/>
  </w:num>
  <w:num w:numId="7" w16cid:durableId="1926189112">
    <w:abstractNumId w:val="3"/>
  </w:num>
  <w:num w:numId="8" w16cid:durableId="16131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5"/>
    <w:rsid w:val="00106EC5"/>
    <w:rsid w:val="001F4CEB"/>
    <w:rsid w:val="0062458A"/>
    <w:rsid w:val="007B08F3"/>
    <w:rsid w:val="00BB22E7"/>
    <w:rsid w:val="00BF766A"/>
    <w:rsid w:val="00C05DB5"/>
    <w:rsid w:val="00D06CDE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2A00"/>
  <w15:chartTrackingRefBased/>
  <w15:docId w15:val="{3776ECBE-4CBD-411B-8DDC-83E594C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05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Umowa_najmu_garazu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7</cp:revision>
  <dcterms:created xsi:type="dcterms:W3CDTF">2022-02-11T13:09:00Z</dcterms:created>
  <dcterms:modified xsi:type="dcterms:W3CDTF">2022-11-23T10:39:00Z</dcterms:modified>
</cp:coreProperties>
</file>