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D850E" w14:textId="4CC57B3A" w:rsidR="008E1C5F" w:rsidRPr="00AB6CC2" w:rsidRDefault="008E1C5F" w:rsidP="00303825">
      <w:pPr>
        <w:pStyle w:val="Nagwek1"/>
        <w:spacing w:line="360" w:lineRule="auto"/>
        <w:rPr>
          <w:rFonts w:cstheme="majorHAnsi"/>
          <w:b/>
          <w:bCs/>
          <w:color w:val="auto"/>
        </w:rPr>
      </w:pPr>
      <w:r w:rsidRPr="00AB6CC2">
        <w:rPr>
          <w:rFonts w:cstheme="majorHAnsi"/>
          <w:b/>
          <w:bCs/>
          <w:color w:val="auto"/>
        </w:rPr>
        <w:t xml:space="preserve">Regulamin przetargu ustnego nieograniczonego na oddanie w najem lokalu użytkowego położonego w Piotrkowie Trybunalskim przy ulicy Narutowicza 19/Sienkiewicza 15, o powierzchni użytkowej </w:t>
      </w:r>
      <w:r w:rsidR="00DA243F">
        <w:rPr>
          <w:rFonts w:cstheme="majorHAnsi"/>
          <w:b/>
          <w:bCs/>
          <w:color w:val="auto"/>
        </w:rPr>
        <w:t>30,64</w:t>
      </w:r>
      <w:r w:rsidRPr="00AB6CC2">
        <w:rPr>
          <w:rFonts w:cstheme="majorHAnsi"/>
          <w:b/>
          <w:bCs/>
          <w:color w:val="auto"/>
        </w:rPr>
        <w:t xml:space="preserve"> m2.</w:t>
      </w:r>
    </w:p>
    <w:p w14:paraId="11566964" w14:textId="3F4A65C3" w:rsidR="008E1C5F" w:rsidRPr="008E1C5F" w:rsidRDefault="008E1C5F" w:rsidP="00303825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Data i miejsce przetargu: dnia </w:t>
      </w:r>
      <w:r w:rsidR="006D2A9F">
        <w:rPr>
          <w:rFonts w:asciiTheme="majorHAnsi" w:hAnsiTheme="majorHAnsi" w:cstheme="majorHAnsi"/>
          <w:sz w:val="24"/>
          <w:szCs w:val="24"/>
        </w:rPr>
        <w:t>23</w:t>
      </w:r>
      <w:r w:rsidRPr="008E1C5F">
        <w:rPr>
          <w:rFonts w:asciiTheme="majorHAnsi" w:hAnsiTheme="majorHAnsi" w:cstheme="majorHAnsi"/>
          <w:sz w:val="24"/>
          <w:szCs w:val="24"/>
        </w:rPr>
        <w:t xml:space="preserve"> </w:t>
      </w:r>
      <w:r w:rsidR="006D2A9F">
        <w:rPr>
          <w:rFonts w:asciiTheme="majorHAnsi" w:hAnsiTheme="majorHAnsi" w:cstheme="majorHAnsi"/>
          <w:sz w:val="24"/>
          <w:szCs w:val="24"/>
        </w:rPr>
        <w:t>lutego</w:t>
      </w:r>
      <w:r w:rsidRPr="008E1C5F">
        <w:rPr>
          <w:rFonts w:asciiTheme="majorHAnsi" w:hAnsiTheme="majorHAnsi" w:cstheme="majorHAnsi"/>
          <w:sz w:val="24"/>
          <w:szCs w:val="24"/>
        </w:rPr>
        <w:t xml:space="preserve"> 202</w:t>
      </w:r>
      <w:r w:rsidR="006D2A9F">
        <w:rPr>
          <w:rFonts w:asciiTheme="majorHAnsi" w:hAnsiTheme="majorHAnsi" w:cstheme="majorHAnsi"/>
          <w:sz w:val="24"/>
          <w:szCs w:val="24"/>
        </w:rPr>
        <w:t>3</w:t>
      </w:r>
      <w:r w:rsidRPr="008E1C5F">
        <w:rPr>
          <w:rFonts w:asciiTheme="majorHAnsi" w:hAnsiTheme="majorHAnsi" w:cstheme="majorHAnsi"/>
          <w:sz w:val="24"/>
          <w:szCs w:val="24"/>
        </w:rPr>
        <w:t xml:space="preserve"> roku, godzina </w:t>
      </w:r>
      <w:r w:rsidR="006D2A9F">
        <w:rPr>
          <w:rFonts w:asciiTheme="majorHAnsi" w:hAnsiTheme="majorHAnsi" w:cstheme="majorHAnsi"/>
          <w:sz w:val="24"/>
          <w:szCs w:val="24"/>
        </w:rPr>
        <w:t>1</w:t>
      </w:r>
      <w:r w:rsidR="00DA243F">
        <w:rPr>
          <w:rFonts w:asciiTheme="majorHAnsi" w:hAnsiTheme="majorHAnsi" w:cstheme="majorHAnsi"/>
          <w:sz w:val="24"/>
          <w:szCs w:val="24"/>
        </w:rPr>
        <w:t>1</w:t>
      </w:r>
      <w:r w:rsidRPr="008E1C5F">
        <w:rPr>
          <w:rFonts w:asciiTheme="majorHAnsi" w:hAnsiTheme="majorHAnsi" w:cstheme="majorHAnsi"/>
          <w:sz w:val="24"/>
          <w:szCs w:val="24"/>
        </w:rPr>
        <w:t>:</w:t>
      </w:r>
      <w:r w:rsidR="00DA243F">
        <w:rPr>
          <w:rFonts w:asciiTheme="majorHAnsi" w:hAnsiTheme="majorHAnsi" w:cstheme="majorHAnsi"/>
          <w:sz w:val="24"/>
          <w:szCs w:val="24"/>
        </w:rPr>
        <w:t>0</w:t>
      </w:r>
      <w:r w:rsidRPr="008E1C5F">
        <w:rPr>
          <w:rFonts w:asciiTheme="majorHAnsi" w:hAnsiTheme="majorHAnsi" w:cstheme="majorHAnsi"/>
          <w:sz w:val="24"/>
          <w:szCs w:val="24"/>
        </w:rPr>
        <w:t>0, w siedzibie Towarzystwa Budownictwa Społecznego Spółka z ograniczoną odpowiedzialnością w Piotrkowie Trybunalskim, Aleja 3 Maja 31, budynek</w:t>
      </w:r>
      <w:r w:rsidR="00E27D95">
        <w:rPr>
          <w:rFonts w:asciiTheme="majorHAnsi" w:hAnsiTheme="majorHAnsi" w:cstheme="majorHAnsi"/>
          <w:sz w:val="24"/>
          <w:szCs w:val="24"/>
        </w:rPr>
        <w:t xml:space="preserve"> </w:t>
      </w:r>
      <w:r w:rsidRPr="008E1C5F">
        <w:rPr>
          <w:rFonts w:asciiTheme="majorHAnsi" w:hAnsiTheme="majorHAnsi" w:cstheme="majorHAnsi"/>
          <w:sz w:val="24"/>
          <w:szCs w:val="24"/>
        </w:rPr>
        <w:t xml:space="preserve">B, </w:t>
      </w:r>
      <w:r w:rsidR="00E27D95">
        <w:rPr>
          <w:rFonts w:asciiTheme="majorHAnsi" w:hAnsiTheme="majorHAnsi" w:cstheme="majorHAnsi"/>
          <w:sz w:val="24"/>
          <w:szCs w:val="24"/>
        </w:rPr>
        <w:t>pokój n</w:t>
      </w:r>
      <w:r w:rsidR="005029F5">
        <w:rPr>
          <w:rFonts w:asciiTheme="majorHAnsi" w:hAnsiTheme="majorHAnsi" w:cstheme="majorHAnsi"/>
          <w:sz w:val="24"/>
          <w:szCs w:val="24"/>
        </w:rPr>
        <w:t>ume</w:t>
      </w:r>
      <w:r w:rsidR="00E27D95">
        <w:rPr>
          <w:rFonts w:asciiTheme="majorHAnsi" w:hAnsiTheme="majorHAnsi" w:cstheme="majorHAnsi"/>
          <w:sz w:val="24"/>
          <w:szCs w:val="24"/>
        </w:rPr>
        <w:t>r 26</w:t>
      </w:r>
      <w:r w:rsidRPr="008E1C5F">
        <w:rPr>
          <w:rFonts w:asciiTheme="majorHAnsi" w:hAnsiTheme="majorHAnsi" w:cstheme="majorHAnsi"/>
          <w:sz w:val="24"/>
          <w:szCs w:val="24"/>
        </w:rPr>
        <w:t>.</w:t>
      </w:r>
    </w:p>
    <w:p w14:paraId="3B15EC2F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Postanowienia ogólne</w:t>
      </w:r>
    </w:p>
    <w:p w14:paraId="53128C28" w14:textId="1F32A11A" w:rsidR="008E1C5F" w:rsidRPr="008E1C5F" w:rsidRDefault="008E1C5F" w:rsidP="00303825">
      <w:pPr>
        <w:numPr>
          <w:ilvl w:val="0"/>
          <w:numId w:val="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Regulamin określa zasady przeprowadzenia przetargu</w:t>
      </w:r>
      <w:r w:rsidR="00E27D95">
        <w:rPr>
          <w:rFonts w:asciiTheme="majorHAnsi" w:hAnsiTheme="majorHAnsi" w:cstheme="majorHAnsi"/>
          <w:sz w:val="24"/>
          <w:szCs w:val="24"/>
        </w:rPr>
        <w:t xml:space="preserve"> </w:t>
      </w:r>
      <w:r w:rsidRPr="008E1C5F">
        <w:rPr>
          <w:rFonts w:asciiTheme="majorHAnsi" w:hAnsiTheme="majorHAnsi" w:cstheme="majorHAnsi"/>
          <w:sz w:val="24"/>
          <w:szCs w:val="24"/>
        </w:rPr>
        <w:t xml:space="preserve">nieograniczonego ustnego na oddanie w najem lokalu użytkowego położonego w Piotrkowie Trybunalskim przy ulicy Narutowicza 19/Sienkiewicza 15, o powierzchni </w:t>
      </w:r>
      <w:r w:rsidR="00DA243F">
        <w:rPr>
          <w:rFonts w:asciiTheme="majorHAnsi" w:hAnsiTheme="majorHAnsi" w:cstheme="majorHAnsi"/>
          <w:sz w:val="24"/>
          <w:szCs w:val="24"/>
        </w:rPr>
        <w:t>30,64</w:t>
      </w:r>
      <w:r w:rsidRPr="008E1C5F">
        <w:rPr>
          <w:rFonts w:asciiTheme="majorHAnsi" w:hAnsiTheme="majorHAnsi" w:cstheme="majorHAnsi"/>
          <w:sz w:val="24"/>
          <w:szCs w:val="24"/>
        </w:rPr>
        <w:t xml:space="preserve"> m2.</w:t>
      </w:r>
    </w:p>
    <w:p w14:paraId="0997C682" w14:textId="77777777" w:rsidR="008E1C5F" w:rsidRPr="008E1C5F" w:rsidRDefault="008E1C5F" w:rsidP="00303825">
      <w:pPr>
        <w:numPr>
          <w:ilvl w:val="0"/>
          <w:numId w:val="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Celem przetargu jest uzyskanie najwyższej miesięcznej stawki czynszu najmu.</w:t>
      </w:r>
    </w:p>
    <w:p w14:paraId="1EA712E4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Podstawa prawna przeprowadzenia przetargu:</w:t>
      </w:r>
    </w:p>
    <w:p w14:paraId="0A8C6802" w14:textId="77777777" w:rsidR="008E1C5F" w:rsidRPr="008E1C5F" w:rsidRDefault="008E1C5F" w:rsidP="00303825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Ustawa z dnia 21 sierpnia 1997 roku o gospodarce nieruchomościami (Dziennik Ustaw z 2021 roku, pozycja 1899 z późniejszymi zmianami).</w:t>
      </w:r>
    </w:p>
    <w:p w14:paraId="477ECA86" w14:textId="77777777" w:rsidR="008E1C5F" w:rsidRPr="008E1C5F" w:rsidRDefault="008E1C5F" w:rsidP="00303825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Uchwała Numer XL/733/14 Rady Miasta Piotrkowa Trybunalskiego z dnia 29 stycznia 2014 roku w sprawie zasad wynajmowania lokali użytkowych na czas oznaczony dłuższy niż 3 lata lub czas nieoznaczony oraz w przypadku, gdy po umowie zawartej na czas oznaczony do 3 lat strony zawierają kolejne umowy, których przedmiotem jest ten sam lokal (Dziennik Urzędowy Województwa Łódzkiego z dnia 28 lutego 2014 roku pozycja 1046) zmieniona Uchwałą Numer V/60/15 Rady Miasta Piotrkowa Trybunalskiego z dnia 25 lutego 2015 roku (Dziennik Urzędowy Województwa Łódzkiego z dnia 2 kwietnia 2015 roku pozycja 1302) oraz Uchwałą Numer XLII/526/21 Rady Miasta Piotrkowa Trybunalskiego z dnia 03.09.2021 roku (Dziennik Urzędowy Województwa Łódzkiego z dnia 24 września 2021 roku pozycja 4429).</w:t>
      </w:r>
    </w:p>
    <w:p w14:paraId="662C608D" w14:textId="77777777" w:rsidR="008E1C5F" w:rsidRPr="008E1C5F" w:rsidRDefault="008E1C5F" w:rsidP="00303825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Zarządzenie Numer 289 Prezydenta Miasta Piotrkowa Trybunalskiego z dnia 18 października 2021 roku w sprawie zasad wynajmowania lokali użytkowych na okres do 3 lat, na czas oznaczony dłuższy niż 3 lata lub czas nieoznaczony oraz w przypadku, gdy </w:t>
      </w:r>
      <w:r w:rsidRPr="008E1C5F">
        <w:rPr>
          <w:rFonts w:asciiTheme="majorHAnsi" w:hAnsiTheme="majorHAnsi" w:cstheme="majorHAnsi"/>
          <w:sz w:val="24"/>
          <w:szCs w:val="24"/>
        </w:rPr>
        <w:lastRenderedPageBreak/>
        <w:t>po umowie zawartej na czas oznaczony do 3 lat strony zawierają kolejne umowy, których przedmiotem jest ten sam lokal.</w:t>
      </w:r>
    </w:p>
    <w:p w14:paraId="4501BB9C" w14:textId="77777777" w:rsidR="00AB6CC2" w:rsidRPr="00AB6CC2" w:rsidRDefault="00AB6CC2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</w:p>
    <w:p w14:paraId="4F80F450" w14:textId="12068793" w:rsidR="008E1C5F" w:rsidRDefault="008E1C5F" w:rsidP="00EF58CC">
      <w:pPr>
        <w:pStyle w:val="Akapitzlist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F58CC">
        <w:rPr>
          <w:rFonts w:asciiTheme="majorHAnsi" w:hAnsiTheme="majorHAnsi" w:cstheme="majorHAnsi"/>
          <w:sz w:val="24"/>
          <w:szCs w:val="24"/>
        </w:rPr>
        <w:t>Ogłoszenie o przetargu ustnym nieograniczonym podaje się do publicznej wiadomości przez okres 21 przed dniem przetargu poprzez zamieszczenie na stronie internetowej Urzędu Miasta Piotrkowa Trybunalskiego i Towarzystwa Budownictwa Społecznego Spółka z ograniczoną odpowiedzialnością w Piotrkowie Trybunalskim, oraz w Biuletynie Informacji Publicznej Urzędu Miasta Piotrkowa Trybunalskiego i Towarzystwa Budownictwa Społecznego Spółka z ograniczoną odpowiedzialnością w Piotrkowie Trybunalskim, na tablicach urzędu i zarządzającego oraz lokalu przeznaczonym do najmu.</w:t>
      </w:r>
    </w:p>
    <w:p w14:paraId="1F8BCE46" w14:textId="7087F2EE" w:rsidR="00EF58CC" w:rsidRPr="00EF58CC" w:rsidRDefault="00EF58CC" w:rsidP="00EF58CC">
      <w:pPr>
        <w:pStyle w:val="Akapitzlist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Wyciąg z ogłoszenia zamieszcza się w prasie o zasięgu obejmującym co najmniej powiat.</w:t>
      </w:r>
    </w:p>
    <w:p w14:paraId="21297AE7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Przedmiot przetargu, okres najmu i wysokość czynszu najmu:</w:t>
      </w:r>
    </w:p>
    <w:p w14:paraId="4F5CC197" w14:textId="775993CB" w:rsidR="008E1C5F" w:rsidRPr="008E1C5F" w:rsidRDefault="008E1C5F" w:rsidP="00303825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Przedmiotem przetargu ustnego jest oddanie w najem lokalu użytkowego</w:t>
      </w:r>
    </w:p>
    <w:p w14:paraId="347B973F" w14:textId="77777777" w:rsidR="008E1C5F" w:rsidRPr="008E1C5F" w:rsidRDefault="008E1C5F" w:rsidP="00303825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na cel: lokal przeznaczony na działalność gospodarczą,</w:t>
      </w:r>
    </w:p>
    <w:p w14:paraId="04661A1E" w14:textId="77777777" w:rsidR="008E1C5F" w:rsidRPr="008E1C5F" w:rsidRDefault="008E1C5F" w:rsidP="00303825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położonego w: Piotrków Trybunalski przy ulicy Narutowicza 19/Sienkiewicza 15,</w:t>
      </w:r>
    </w:p>
    <w:p w14:paraId="5C049649" w14:textId="6C837D63" w:rsidR="008E1C5F" w:rsidRPr="008E1C5F" w:rsidRDefault="008E1C5F" w:rsidP="00303825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o powierzchni użytkowej: </w:t>
      </w:r>
      <w:r w:rsidR="00DA243F">
        <w:rPr>
          <w:rFonts w:asciiTheme="majorHAnsi" w:hAnsiTheme="majorHAnsi" w:cstheme="majorHAnsi"/>
          <w:sz w:val="24"/>
          <w:szCs w:val="24"/>
        </w:rPr>
        <w:t>30,64</w:t>
      </w:r>
      <w:r w:rsidRPr="008E1C5F">
        <w:rPr>
          <w:rFonts w:asciiTheme="majorHAnsi" w:hAnsiTheme="majorHAnsi" w:cstheme="majorHAnsi"/>
          <w:sz w:val="24"/>
          <w:szCs w:val="24"/>
        </w:rPr>
        <w:t xml:space="preserve"> m2.</w:t>
      </w:r>
    </w:p>
    <w:p w14:paraId="370660DC" w14:textId="77777777" w:rsidR="008E1C5F" w:rsidRPr="008E1C5F" w:rsidRDefault="008E1C5F" w:rsidP="00303825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Okres najmu: nieoznaczony.</w:t>
      </w:r>
    </w:p>
    <w:p w14:paraId="0ABEB8CF" w14:textId="55393815" w:rsidR="008E1C5F" w:rsidRPr="008E1C5F" w:rsidRDefault="008E1C5F" w:rsidP="00303825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Cena wywoławcza stawki czynszu określona jako miesięczny czynsz netto</w:t>
      </w:r>
      <w:r w:rsidR="0071689C">
        <w:rPr>
          <w:rFonts w:asciiTheme="majorHAnsi" w:hAnsiTheme="majorHAnsi" w:cstheme="majorHAnsi"/>
          <w:sz w:val="24"/>
          <w:szCs w:val="24"/>
        </w:rPr>
        <w:t xml:space="preserve"> </w:t>
      </w:r>
      <w:r w:rsidRPr="008E1C5F">
        <w:rPr>
          <w:rFonts w:asciiTheme="majorHAnsi" w:hAnsiTheme="majorHAnsi" w:cstheme="majorHAnsi"/>
          <w:sz w:val="24"/>
          <w:szCs w:val="24"/>
        </w:rPr>
        <w:t xml:space="preserve">ustalony dla lokalu użytkowego: </w:t>
      </w:r>
      <w:r w:rsidR="00DA243F">
        <w:rPr>
          <w:rFonts w:asciiTheme="majorHAnsi" w:hAnsiTheme="majorHAnsi" w:cstheme="majorHAnsi"/>
          <w:sz w:val="24"/>
          <w:szCs w:val="24"/>
        </w:rPr>
        <w:t>919,20</w:t>
      </w:r>
      <w:r w:rsidRPr="008E1C5F">
        <w:rPr>
          <w:rFonts w:asciiTheme="majorHAnsi" w:hAnsiTheme="majorHAnsi" w:cstheme="majorHAnsi"/>
          <w:sz w:val="24"/>
          <w:szCs w:val="24"/>
        </w:rPr>
        <w:t xml:space="preserve"> zł.</w:t>
      </w:r>
    </w:p>
    <w:p w14:paraId="51C48B5B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Warunki i zasady uczestnictwa w przetargu:</w:t>
      </w:r>
    </w:p>
    <w:p w14:paraId="7C22F7B3" w14:textId="613C964B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Warunkiem uczestnictwa w przetargu jest wniesienie wadium w pieniądzu: </w:t>
      </w:r>
      <w:r w:rsidR="00DA243F">
        <w:rPr>
          <w:rFonts w:asciiTheme="majorHAnsi" w:hAnsiTheme="majorHAnsi" w:cstheme="majorHAnsi"/>
          <w:sz w:val="24"/>
          <w:szCs w:val="24"/>
        </w:rPr>
        <w:t>919</w:t>
      </w:r>
      <w:r w:rsidR="006D2A9F">
        <w:rPr>
          <w:rFonts w:asciiTheme="majorHAnsi" w:hAnsiTheme="majorHAnsi" w:cstheme="majorHAnsi"/>
          <w:sz w:val="24"/>
          <w:szCs w:val="24"/>
        </w:rPr>
        <w:t>,20</w:t>
      </w:r>
      <w:r w:rsidRPr="008E1C5F">
        <w:rPr>
          <w:rFonts w:asciiTheme="majorHAnsi" w:hAnsiTheme="majorHAnsi" w:cstheme="majorHAnsi"/>
          <w:sz w:val="24"/>
          <w:szCs w:val="24"/>
        </w:rPr>
        <w:t xml:space="preserve"> zł, /słownie złotych: </w:t>
      </w:r>
      <w:r w:rsidR="00DA243F">
        <w:rPr>
          <w:rFonts w:asciiTheme="majorHAnsi" w:hAnsiTheme="majorHAnsi" w:cstheme="majorHAnsi"/>
          <w:sz w:val="24"/>
          <w:szCs w:val="24"/>
        </w:rPr>
        <w:t xml:space="preserve">dziewięćset dziewiętnaście </w:t>
      </w:r>
      <w:r w:rsidRPr="008E1C5F">
        <w:rPr>
          <w:rFonts w:asciiTheme="majorHAnsi" w:hAnsiTheme="majorHAnsi" w:cstheme="majorHAnsi"/>
          <w:sz w:val="24"/>
          <w:szCs w:val="24"/>
        </w:rPr>
        <w:t>złot</w:t>
      </w:r>
      <w:r w:rsidR="00DA243F">
        <w:rPr>
          <w:rFonts w:asciiTheme="majorHAnsi" w:hAnsiTheme="majorHAnsi" w:cstheme="majorHAnsi"/>
          <w:sz w:val="24"/>
          <w:szCs w:val="24"/>
        </w:rPr>
        <w:t>ych</w:t>
      </w:r>
      <w:r w:rsidRPr="008E1C5F">
        <w:rPr>
          <w:rFonts w:asciiTheme="majorHAnsi" w:hAnsiTheme="majorHAnsi" w:cstheme="majorHAnsi"/>
          <w:sz w:val="24"/>
          <w:szCs w:val="24"/>
        </w:rPr>
        <w:t xml:space="preserve"> </w:t>
      </w:r>
      <w:r w:rsidR="006D2A9F">
        <w:rPr>
          <w:rFonts w:asciiTheme="majorHAnsi" w:hAnsiTheme="majorHAnsi" w:cstheme="majorHAnsi"/>
          <w:sz w:val="24"/>
          <w:szCs w:val="24"/>
        </w:rPr>
        <w:t>20</w:t>
      </w:r>
      <w:r w:rsidRPr="008E1C5F">
        <w:rPr>
          <w:rFonts w:asciiTheme="majorHAnsi" w:hAnsiTheme="majorHAnsi" w:cstheme="majorHAnsi"/>
          <w:sz w:val="24"/>
          <w:szCs w:val="24"/>
        </w:rPr>
        <w:t>/100/, w terminie wyznaczonym w ogłoszeniu o przetargu oraz złożenie oferty wraz z wymaganymi dokumentami w terminie określonym w ogłoszeniu o przetargu, stanowiącym załącznik do niniejszego regulaminu.</w:t>
      </w:r>
    </w:p>
    <w:p w14:paraId="64857F78" w14:textId="466E7D1F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lastRenderedPageBreak/>
        <w:t xml:space="preserve">Wadium należy wpłacić na rachunek bankowy Towarzystwa Budownictwa Społecznego Spółka z ograniczoną odpowiedzialnością w Piotrkowie Trybunalskim, Aleja 3 Maja 31 – BNP PARIBAS numer konta: 18 1600 1462 1004 1882 6000 0001 z dopiskiem: „wadium – najem lokalu użytkowego położonego w Piotrkowie Trybunalskim przy ulicy Narutowicza 19/Sienkiewicza 15 o powierzchni </w:t>
      </w:r>
      <w:r w:rsidR="00DA243F">
        <w:rPr>
          <w:rFonts w:asciiTheme="majorHAnsi" w:hAnsiTheme="majorHAnsi" w:cstheme="majorHAnsi"/>
          <w:sz w:val="24"/>
          <w:szCs w:val="24"/>
        </w:rPr>
        <w:t>30,64</w:t>
      </w:r>
      <w:r w:rsidRPr="008E1C5F">
        <w:rPr>
          <w:rFonts w:asciiTheme="majorHAnsi" w:hAnsiTheme="majorHAnsi" w:cstheme="majorHAnsi"/>
          <w:sz w:val="24"/>
          <w:szCs w:val="24"/>
        </w:rPr>
        <w:t xml:space="preserve"> m2”. Za datę wniesienia wadium uznaje się datę wpływu środków pieniężnych na rachunek bankowy Towarzystwa Budownictwa Społecznego Spółka z ograniczoną odpowiedzialnością podany w ogłoszeniu.</w:t>
      </w:r>
    </w:p>
    <w:p w14:paraId="458E0B7B" w14:textId="131CCFA3" w:rsidR="008E1C5F" w:rsidRPr="006D2A9F" w:rsidRDefault="008E1C5F" w:rsidP="006D2A9F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terminie wskazanym w ogłoszeniu o przetargu oferent zobowiązany jest do złożenia w siedzibie Towarzystwa Budownictwa Społecznego Spółka z ograniczoną odpowiedzialnością w Piotrkowie Trybunalskim, Aleja 3 Maja 31, budynek A, Sekretariat - pokój numer 15 (telefon 44/732-37-70):</w:t>
      </w:r>
      <w:r w:rsidR="006D2A9F">
        <w:rPr>
          <w:rFonts w:asciiTheme="majorHAnsi" w:hAnsiTheme="majorHAnsi" w:cstheme="majorHAnsi"/>
          <w:sz w:val="24"/>
          <w:szCs w:val="24"/>
        </w:rPr>
        <w:t xml:space="preserve"> </w:t>
      </w:r>
      <w:r w:rsidRPr="006D2A9F">
        <w:rPr>
          <w:rFonts w:asciiTheme="majorHAnsi" w:hAnsiTheme="majorHAnsi" w:cstheme="majorHAnsi"/>
          <w:sz w:val="24"/>
          <w:szCs w:val="24"/>
        </w:rPr>
        <w:t>pisemnej oferty uczestnictwa w przetargu zawierającej w szczególności:</w:t>
      </w:r>
    </w:p>
    <w:p w14:paraId="755B36BC" w14:textId="77777777" w:rsidR="008E1C5F" w:rsidRPr="008E1C5F" w:rsidRDefault="008E1C5F" w:rsidP="00303825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imię, nazwisko i adres (nazwę i siedzibę) oferenta,</w:t>
      </w:r>
    </w:p>
    <w:p w14:paraId="474FCE52" w14:textId="77777777" w:rsidR="008E1C5F" w:rsidRPr="008E1C5F" w:rsidRDefault="008E1C5F" w:rsidP="00303825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oznaczenie lokalu (adres, powierzchnia użytkowa), którego przetarg dotyczy,</w:t>
      </w:r>
    </w:p>
    <w:p w14:paraId="5BAAFBBA" w14:textId="77777777" w:rsidR="008E1C5F" w:rsidRPr="008E1C5F" w:rsidRDefault="008E1C5F" w:rsidP="00303825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profil działalności.</w:t>
      </w:r>
    </w:p>
    <w:p w14:paraId="4987E38A" w14:textId="77777777" w:rsidR="008E1C5F" w:rsidRPr="008E1C5F" w:rsidRDefault="008E1C5F" w:rsidP="00303825">
      <w:p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Ponadto do oferty należy dołączyć:</w:t>
      </w:r>
    </w:p>
    <w:p w14:paraId="7D30FE38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zaświadczenie o niezaleganiu z zapłatą należności wobec Gminy Piotrków Trybunalski,</w:t>
      </w:r>
    </w:p>
    <w:p w14:paraId="5B95A96C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zaświadczenie o niezaleganiu z zapłatą należności wobec Towarzystwa Budownictwa Społecznego Spółka z ograniczoną odpowiedzialnością w Piotrkowie Trybunalskim,</w:t>
      </w:r>
    </w:p>
    <w:p w14:paraId="17917079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dowód wpłaty wadium,</w:t>
      </w:r>
    </w:p>
    <w:p w14:paraId="41949C70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zaświadczenie o zapoznaniu się ze stanem technicznym lokalu, potwierdzone przez administrację oraz oświadczenie o zobowiązaniu się do wykonania określonych robót remontowych we własnym zakresie i na koszt własny bez żądania zwrotu poniesionych nakładów na ten cel w trakcie trwania najmu jak i po jego zakończeniu.</w:t>
      </w:r>
    </w:p>
    <w:p w14:paraId="7D423D4A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lastRenderedPageBreak/>
        <w:t>oświadczenie o zaakceptowaniu warunków najmu określonych w projekcie umowy najmu i regulaminie przetargowym.</w:t>
      </w:r>
    </w:p>
    <w:p w14:paraId="086E061D" w14:textId="77777777" w:rsidR="00E74C31" w:rsidRDefault="008E1C5F" w:rsidP="00E74C31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Dla podmiotów rozpoczynających działalność gospodarczą wprowadza się preferencyjny sposób ustalenia stawki czynszu. Stawka osiągnięta w drodze przetargu będzie ustalona w następujący sposób:</w:t>
      </w:r>
    </w:p>
    <w:p w14:paraId="41C27BCC" w14:textId="77777777" w:rsidR="00E74C31" w:rsidRDefault="008E1C5F" w:rsidP="00E74C31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dla osób, które w terminie do 12 miesięcy poprzedzających złożenie oferty rozpoczęły prowadzenie działalności gospodarczej:</w:t>
      </w:r>
    </w:p>
    <w:p w14:paraId="7849ED79" w14:textId="77777777" w:rsidR="00E74C31" w:rsidRDefault="008E1C5F" w:rsidP="00E74C3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pierwszy rok najmu – stawka czynszu na poziomie kosztów utrzymania 1 m2 lokalu,</w:t>
      </w:r>
    </w:p>
    <w:p w14:paraId="60F76096" w14:textId="77777777" w:rsidR="00E74C31" w:rsidRDefault="008E1C5F" w:rsidP="00E74C3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drugi rok najmu – 40 % stawki czynszu ustalonej w drodze przetargu,</w:t>
      </w:r>
    </w:p>
    <w:p w14:paraId="3CDAD53A" w14:textId="77777777" w:rsidR="00E74C31" w:rsidRDefault="008E1C5F" w:rsidP="00E74C3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trzeci rok najmu – 70 % stawki czynszu ustalonej w drodze przetargu,</w:t>
      </w:r>
    </w:p>
    <w:p w14:paraId="15E5101C" w14:textId="141676DE" w:rsidR="008E1C5F" w:rsidRPr="00E74C31" w:rsidRDefault="008E1C5F" w:rsidP="00E74C3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po 36 miesiącach obowiązuje 100 % stawki ustalonej w drodze przetargu,</w:t>
      </w:r>
    </w:p>
    <w:p w14:paraId="0036A2D1" w14:textId="77777777" w:rsidR="00F313D6" w:rsidRDefault="008E1C5F" w:rsidP="00F313D6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dla osób prowadzących działalność gospodarczą powyżej 12 miesięcy do 24 miesięcy przed złożeniem oferty, stawka za lokal wynosić będzie:</w:t>
      </w:r>
    </w:p>
    <w:p w14:paraId="3EE39B26" w14:textId="77777777" w:rsidR="00F313D6" w:rsidRDefault="008E1C5F" w:rsidP="00F313D6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pierwszy rok najmu – 40 % stawki czynszu ustalonej w drodze przetargu,</w:t>
      </w:r>
    </w:p>
    <w:p w14:paraId="66202DE4" w14:textId="77777777" w:rsidR="00F313D6" w:rsidRDefault="00F313D6" w:rsidP="00F313D6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</w:t>
      </w:r>
      <w:r w:rsidR="008E1C5F" w:rsidRPr="00F313D6">
        <w:rPr>
          <w:rFonts w:asciiTheme="majorHAnsi" w:hAnsiTheme="majorHAnsi" w:cstheme="majorHAnsi"/>
          <w:sz w:val="24"/>
          <w:szCs w:val="24"/>
        </w:rPr>
        <w:t>rugi rok najmu – 70 % stawki czynszu ustalonej w drodze przetargu,</w:t>
      </w:r>
    </w:p>
    <w:p w14:paraId="61755AB7" w14:textId="02BB4A5B" w:rsidR="008E1C5F" w:rsidRPr="00F313D6" w:rsidRDefault="008E1C5F" w:rsidP="00F313D6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po upływie drugiego roku najmu – 100 % stawki ustalonej w drodze przetargu,</w:t>
      </w:r>
    </w:p>
    <w:p w14:paraId="18025194" w14:textId="77777777" w:rsidR="00F313D6" w:rsidRDefault="008E1C5F" w:rsidP="00F313D6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dla osób prowadzących działalność gospodarczą powyżej 24 miesięcy i do 36 miesięcy przed złożeniem oferty, stawka za lokal wynosić będzie:</w:t>
      </w:r>
    </w:p>
    <w:p w14:paraId="513A708B" w14:textId="77777777" w:rsidR="00F313D6" w:rsidRDefault="008E1C5F" w:rsidP="00F313D6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pierwszy rok najmu – 70 % stawki czynszu ustalonej w drodze przetargu,</w:t>
      </w:r>
    </w:p>
    <w:p w14:paraId="6152A5A3" w14:textId="77777777" w:rsidR="00F313D6" w:rsidRDefault="008E1C5F" w:rsidP="00F313D6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po upływie pierwszego roku najmu – 100 % stawki czynszu ustalonej w drodze przetargu,</w:t>
      </w:r>
    </w:p>
    <w:p w14:paraId="3B4E3C8A" w14:textId="292DE90F" w:rsidR="008E1C5F" w:rsidRPr="00F313D6" w:rsidRDefault="008E1C5F" w:rsidP="00F313D6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dla osób prowadzących działalność gospodarczą powyżej 3 lat przed złożeniem oferty obowiązywać będzie 100 % stawki ustalonej w drodze przetargu.</w:t>
      </w:r>
    </w:p>
    <w:p w14:paraId="43754AD5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Oferenci składający ofertę na najem lokalu zobowiązani są wykazać, że są podmiotem, który w okresie, o którym mowa w punkcie 4 rozpoczął prowadzenie działalności gospodarczej.</w:t>
      </w:r>
    </w:p>
    <w:p w14:paraId="05C498E9" w14:textId="14771D03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lastRenderedPageBreak/>
        <w:t>Z regulaminem przetargu, warunkami najmu można zapoznać się w siedzibie Towarzystwa Budownictwa Społecznego Spółka z ograniczoną odpowiedzialnością w Piotrkowie Trybunalskim, Aleja 3 Maja 31, budynek B – pokój numer 25, natomiast informację o stanie technicznym lokalu można uzyskać w administracji budynku, to jest ZGM Spółka z ograniczoną odpowiedzialnością w Bytomiu Biuro Obsługi Klienta w Piotrkowie Trybunalskim, ulica Dąbrowskiego 4, telefon 691-420-232.</w:t>
      </w:r>
    </w:p>
    <w:p w14:paraId="622AD9B7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Przed przystąpieniem do przetargu należy dokonać oględzin lokalu w obecności pracownika administracji, to jest ZGM Spółka z ograniczoną odpowiedzialnością w Bytomiu Biuro Obsługi Klienta w Piotrkowie Trybunalskim, ulica Dąbrowskiego 4, telefon 691-420-232. Oględzin lokalu można dokonać we wszystkie dni robocze w godzinach od 8:00 do 15:00.</w:t>
      </w:r>
    </w:p>
    <w:p w14:paraId="20EF2EBA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Wynajmujący nie ma obowiązku przystosowania lokalu do rodzaju działalności, którą najemca zamierza prowadzić w lokalu. Przyjęcie do wiadomości, oraz przez organizatora przetargu, informacji o profilu działalności nie jest w żadnym przypadku równoznaczne ze zwolnieniem przyszłego najemcy z uzyskania zezwoleń, wymaganych odrębnymi przepisami, do prowadzenia w lokalu działalności wymienionej w ofercie (np. konserwatora zabytków, stacji sanitarno-epidemiologicznej, organu koncesyjnego i tym podobne).</w:t>
      </w:r>
    </w:p>
    <w:p w14:paraId="12E068F8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Osoby fizyczne uczestniczące w przetargu okazują komisji przetargowej w dniu przetargu dokument stwierdzający tożsamość.</w:t>
      </w:r>
    </w:p>
    <w:p w14:paraId="4627ABF0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przypadku osób fizycznych pozostających w związku małżeńskim, posiadających ustawową wspólność majątkową, do udziału w przetargu wymagana jest obecność obojga małżonków lub pisemna zgoda (podpis notarialnie poświadczony) współmałżonka na przystąpienie do przetargu w celu wynajęcia lokalu użytkowego i zawarcia umowy najmu lokalu.</w:t>
      </w:r>
    </w:p>
    <w:p w14:paraId="7AFBF8B7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przypadku posiadania rozdzielności majątkowej, należy przed przystąpieniem do przetargu przedłożyć komisji przetargowej oryginał dokumentu potwierdzającego rozdzielność majątkową.</w:t>
      </w:r>
    </w:p>
    <w:p w14:paraId="2F817F37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Osoby prawne krajowe i spółki z udziałem zagranicznym zobowiązane są przedłożyć oryginały lub poświadczone za zgodność z oryginałem: aktualny odpis z </w:t>
      </w:r>
      <w:r w:rsidRPr="008E1C5F">
        <w:rPr>
          <w:rFonts w:asciiTheme="majorHAnsi" w:hAnsiTheme="majorHAnsi" w:cstheme="majorHAnsi"/>
          <w:sz w:val="24"/>
          <w:szCs w:val="24"/>
        </w:rPr>
        <w:lastRenderedPageBreak/>
        <w:t>Krajowego Rejestru Sądowego, uchwałę odpowiedniego organu osoby prawnej zezwalającej na przystąpienie i udział w przetargu oraz inne konieczne upoważnienia, a osoba prowadząca działalność gospodarczą - zaświadczenie o wpisie do ewidencji działalności gospodarczej.</w:t>
      </w:r>
    </w:p>
    <w:p w14:paraId="15FA28D7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Jeżeli uczestnik przetargu jest reprezentowany przez pełnomocnika, konieczne jest przedłożenie oryginału pełnomocnictwa upoważniającego do działania na każdym etapie postępowania przetargowego.</w:t>
      </w:r>
    </w:p>
    <w:p w14:paraId="38FD7B00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Wniesione wadium przez uczestnika przetargu, który przetarg wygrał, zaliczane jest na poczet czynszu najmu.</w:t>
      </w:r>
    </w:p>
    <w:p w14:paraId="6F647FFF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Wadium zwraca się niezwłocznie po odwołaniu lub zamknięciu przetargu, jednak nie później niż przed upływem trzech dni od dnia odpowiednio: odwołania przetargu, zamknięcia przetargu, unieważnienia przetargu, zakończenia przetargu wynikiem negatywnym w sposób odpowiadający formie wniesienia.</w:t>
      </w:r>
    </w:p>
    <w:p w14:paraId="7D8F4109" w14:textId="6CF6B958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przypadku uchylenia się uczestnika przetargu, który przetarg wygrał od zawarcia umowy, wadium nie podlega zwrotowi i przepada na rzecz Towarzystwa Budownictwa Społecznego Spółka z ograniczoną odpowiedzialnością</w:t>
      </w:r>
      <w:r w:rsidR="0046014F">
        <w:rPr>
          <w:rFonts w:asciiTheme="majorHAnsi" w:hAnsiTheme="majorHAnsi" w:cstheme="majorHAnsi"/>
          <w:sz w:val="24"/>
          <w:szCs w:val="24"/>
        </w:rPr>
        <w:t>.</w:t>
      </w:r>
    </w:p>
    <w:p w14:paraId="7BBEE995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Towarzystwo Budownictwa Społecznego Spółka z ograniczoną odpowiedzialnością w Piotrkowie Trybunalskim, w przypadku uchylenia się od zawarcia umowy przez uczestnika przetargu, który przetarg wygrał, może zawrzeć umowę najmu z następnym w kolejności oferentem (tj. z tym, którego oferta była druga pod względem wielkości oferowanego czynszu najmu), lecz przy zachowaniu stawki czynszu zaoferowanej przez oferenta, który przetarg wygrał.</w:t>
      </w:r>
    </w:p>
    <w:p w14:paraId="6613E7F2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color w:val="auto"/>
        </w:rPr>
      </w:pPr>
    </w:p>
    <w:p w14:paraId="24B621A2" w14:textId="77777777" w:rsidR="008E1C5F" w:rsidRPr="008E1C5F" w:rsidRDefault="008E1C5F" w:rsidP="00303825">
      <w:pPr>
        <w:numPr>
          <w:ilvl w:val="0"/>
          <w:numId w:val="9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Skład Komisji Przetargowej oraz zasady postępowania Komisji Przetargowej określa Zarządzenie Prezesa Zarządu Spółki z ograniczoną odpowiedzialnością w Piotrkowie Trybunalskim.</w:t>
      </w:r>
    </w:p>
    <w:p w14:paraId="7A34FAD9" w14:textId="77777777" w:rsidR="008E1C5F" w:rsidRPr="00303825" w:rsidRDefault="008E1C5F" w:rsidP="00303825">
      <w:pPr>
        <w:numPr>
          <w:ilvl w:val="0"/>
          <w:numId w:val="9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W przetargu nie mogą uczestniczyć osoby wchodzące w skład Komisji Przetargowej oraz osoby bliskie tym osobom, a także osoby, które pozostają z </w:t>
      </w:r>
      <w:r w:rsidRPr="008E1C5F">
        <w:rPr>
          <w:rFonts w:asciiTheme="majorHAnsi" w:hAnsiTheme="majorHAnsi" w:cstheme="majorHAnsi"/>
          <w:sz w:val="24"/>
          <w:szCs w:val="24"/>
        </w:rPr>
        <w:lastRenderedPageBreak/>
        <w:t xml:space="preserve">członkami Komisji Przetargowej w takim stosunku prawnym lub faktycznym, że może </w:t>
      </w:r>
      <w:r w:rsidRPr="00303825">
        <w:rPr>
          <w:rFonts w:asciiTheme="majorHAnsi" w:hAnsiTheme="majorHAnsi" w:cstheme="majorHAnsi"/>
          <w:sz w:val="24"/>
          <w:szCs w:val="24"/>
        </w:rPr>
        <w:t>budzić to uzasadnione wątpliwości co do bezstronności Komisji Przetargowej.</w:t>
      </w:r>
    </w:p>
    <w:p w14:paraId="5D883D1C" w14:textId="77777777" w:rsidR="008E1C5F" w:rsidRPr="00303825" w:rsidRDefault="008E1C5F" w:rsidP="00303825">
      <w:pPr>
        <w:pStyle w:val="Nagwek2"/>
        <w:numPr>
          <w:ilvl w:val="0"/>
          <w:numId w:val="15"/>
        </w:numPr>
        <w:spacing w:line="360" w:lineRule="auto"/>
        <w:rPr>
          <w:color w:val="auto"/>
        </w:rPr>
      </w:pPr>
      <w:r w:rsidRPr="00303825">
        <w:rPr>
          <w:color w:val="auto"/>
        </w:rPr>
        <w:t>Przeprowadzenie przetargu.</w:t>
      </w:r>
    </w:p>
    <w:p w14:paraId="4E9D32C3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Przewodniczący Komisji Przetargowej otwiera przetarg, przekazując uczestnikom przetargu informację o lokalu użytkowym będącym przedmiotem przetargu, cenie wywoławczej, skutkach uchylenia się od zawarcia umowy najmu, podaje do wiadomości imiona i nazwiska lub nazwy osób, które wniosły wadium oraz zostały dopuszczone do przetargu.</w:t>
      </w:r>
    </w:p>
    <w:p w14:paraId="7FB149A3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Przewodniczący Komisji Przetargowej informuje uczestników przetargu, że po trzecim wywołaniu najwyższej zaoferowanej ceny dalsze postąpienia nie zostaną przyjęte.</w:t>
      </w:r>
    </w:p>
    <w:p w14:paraId="4F62FA82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 wysokości postąpienia decydują uczestnicy przetargu, z tym, że postąpienie nie może wynosić mniej niż 1 % ceny wywoławczej, z zaokrągleniem w górę do pełnych dziesiątek złotych.</w:t>
      </w:r>
    </w:p>
    <w:p w14:paraId="233136A7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Uczestnicy Przetargu zgłaszają ustnie kolejne postąpienia ceny, dopóki mimo trzykrotnego wywołania nie ma dalszych postąpień.</w:t>
      </w:r>
    </w:p>
    <w:p w14:paraId="320A6DF3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Zgłoszenie ceny następuje ustnie z jednoczesnym uniesieniem w górę kartonika z numerem porządkowym, otrzymanego od Komisji Przetargowej przed rozpoczęciem przetargu.</w:t>
      </w:r>
    </w:p>
    <w:p w14:paraId="5528CF7A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Warunek ustnego wywołania ceny nie jest konieczny, jeżeli uczestnik zgłasza przez uniesienie kartonika – cenę wyższą tylko o jedno postąpienie od ceny zaoferowanej bezpośrednio przed tym postąpieniem.</w:t>
      </w:r>
    </w:p>
    <w:p w14:paraId="19AC711C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Cena zaoferowana przez uczestnika przetargu przestaje go wiązać, gdy inny uczestnik zaoferuje cenę wyższą.</w:t>
      </w:r>
    </w:p>
    <w:p w14:paraId="077C0755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Przetarg jest ważny bez względu na liczbę uczestników przetargu, jeżeli przynajmniej jeden uczestnik zaoferował co najmniej jedno postąpienie powyżej ceny wywoławczej.</w:t>
      </w:r>
    </w:p>
    <w:p w14:paraId="3C31F848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lastRenderedPageBreak/>
        <w:t>Po ustaniu zgłaszania postąpień Przewodniczący Komisji Przetargowej wywołuje trzykrotnie ostatnią, najwyższą cenę i zamyka przetarg, a następnie ogłasza imię i nazwisko albo nazwę osoby, która przetarg wygrała.</w:t>
      </w:r>
    </w:p>
    <w:p w14:paraId="2CE64357" w14:textId="76AADAB9" w:rsidR="001F4CEB" w:rsidRPr="00AB6CC2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Umowa najmu z osobą, która przetarg wygrała zostaje zawarta niezwłocznie, jednakże nie później niż w terminie 14 dni od daty zamknięcia przetargu.</w:t>
      </w:r>
    </w:p>
    <w:sectPr w:rsidR="001F4CEB" w:rsidRPr="00AB6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AE5"/>
    <w:multiLevelType w:val="hybridMultilevel"/>
    <w:tmpl w:val="7A7081C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5536D5"/>
    <w:multiLevelType w:val="hybridMultilevel"/>
    <w:tmpl w:val="C116E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26EC0"/>
    <w:multiLevelType w:val="hybridMultilevel"/>
    <w:tmpl w:val="37B23642"/>
    <w:lvl w:ilvl="0" w:tplc="0415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3" w15:restartNumberingAfterBreak="0">
    <w:nsid w:val="192439E7"/>
    <w:multiLevelType w:val="hybridMultilevel"/>
    <w:tmpl w:val="18FE3592"/>
    <w:lvl w:ilvl="0" w:tplc="0415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4" w15:restartNumberingAfterBreak="0">
    <w:nsid w:val="1E3930A2"/>
    <w:multiLevelType w:val="hybridMultilevel"/>
    <w:tmpl w:val="E6A8684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21600C6D"/>
    <w:multiLevelType w:val="hybridMultilevel"/>
    <w:tmpl w:val="B6042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E4A43"/>
    <w:multiLevelType w:val="hybridMultilevel"/>
    <w:tmpl w:val="C116EC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D6FFD"/>
    <w:multiLevelType w:val="hybridMultilevel"/>
    <w:tmpl w:val="FC026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70319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3EF0C1C"/>
    <w:multiLevelType w:val="hybridMultilevel"/>
    <w:tmpl w:val="6E6EE5B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39A12461"/>
    <w:multiLevelType w:val="hybridMultilevel"/>
    <w:tmpl w:val="8EDAD45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3B223E13"/>
    <w:multiLevelType w:val="hybridMultilevel"/>
    <w:tmpl w:val="3CE22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91C70"/>
    <w:multiLevelType w:val="hybridMultilevel"/>
    <w:tmpl w:val="33501228"/>
    <w:lvl w:ilvl="0" w:tplc="04150001">
      <w:start w:val="1"/>
      <w:numFmt w:val="bullet"/>
      <w:lvlText w:val=""/>
      <w:lvlJc w:val="left"/>
      <w:pPr>
        <w:ind w:left="17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13" w15:restartNumberingAfterBreak="0">
    <w:nsid w:val="407F7B68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D1E325A"/>
    <w:multiLevelType w:val="hybridMultilevel"/>
    <w:tmpl w:val="ABC41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C7530"/>
    <w:multiLevelType w:val="hybridMultilevel"/>
    <w:tmpl w:val="F252FEA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80E4DC4"/>
    <w:multiLevelType w:val="hybridMultilevel"/>
    <w:tmpl w:val="7EDC47E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" w15:restartNumberingAfterBreak="0">
    <w:nsid w:val="5E6525A5"/>
    <w:multiLevelType w:val="hybridMultilevel"/>
    <w:tmpl w:val="E112F6B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6120F68"/>
    <w:multiLevelType w:val="hybridMultilevel"/>
    <w:tmpl w:val="8BD85A7C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D8767E3"/>
    <w:multiLevelType w:val="hybridMultilevel"/>
    <w:tmpl w:val="5558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996695">
    <w:abstractNumId w:val="8"/>
  </w:num>
  <w:num w:numId="2" w16cid:durableId="1510830148">
    <w:abstractNumId w:val="11"/>
  </w:num>
  <w:num w:numId="3" w16cid:durableId="38432725">
    <w:abstractNumId w:val="1"/>
  </w:num>
  <w:num w:numId="4" w16cid:durableId="638996996">
    <w:abstractNumId w:val="5"/>
  </w:num>
  <w:num w:numId="5" w16cid:durableId="2048794269">
    <w:abstractNumId w:val="15"/>
  </w:num>
  <w:num w:numId="6" w16cid:durableId="294414094">
    <w:abstractNumId w:val="14"/>
  </w:num>
  <w:num w:numId="7" w16cid:durableId="1060640036">
    <w:abstractNumId w:val="17"/>
  </w:num>
  <w:num w:numId="8" w16cid:durableId="357631779">
    <w:abstractNumId w:val="0"/>
  </w:num>
  <w:num w:numId="9" w16cid:durableId="1945645847">
    <w:abstractNumId w:val="19"/>
  </w:num>
  <w:num w:numId="10" w16cid:durableId="615647559">
    <w:abstractNumId w:val="7"/>
  </w:num>
  <w:num w:numId="11" w16cid:durableId="161551234">
    <w:abstractNumId w:val="3"/>
  </w:num>
  <w:num w:numId="12" w16cid:durableId="1902594547">
    <w:abstractNumId w:val="2"/>
  </w:num>
  <w:num w:numId="13" w16cid:durableId="625548204">
    <w:abstractNumId w:val="12"/>
  </w:num>
  <w:num w:numId="14" w16cid:durableId="558831596">
    <w:abstractNumId w:val="18"/>
  </w:num>
  <w:num w:numId="15" w16cid:durableId="1819373177">
    <w:abstractNumId w:val="13"/>
  </w:num>
  <w:num w:numId="16" w16cid:durableId="843084370">
    <w:abstractNumId w:val="6"/>
  </w:num>
  <w:num w:numId="17" w16cid:durableId="1272934923">
    <w:abstractNumId w:val="16"/>
  </w:num>
  <w:num w:numId="18" w16cid:durableId="1338535981">
    <w:abstractNumId w:val="9"/>
  </w:num>
  <w:num w:numId="19" w16cid:durableId="205652806">
    <w:abstractNumId w:val="10"/>
  </w:num>
  <w:num w:numId="20" w16cid:durableId="7437686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5F"/>
    <w:rsid w:val="00146234"/>
    <w:rsid w:val="001F4CEB"/>
    <w:rsid w:val="00303825"/>
    <w:rsid w:val="0046014F"/>
    <w:rsid w:val="005029F5"/>
    <w:rsid w:val="006D2A9F"/>
    <w:rsid w:val="0071689C"/>
    <w:rsid w:val="007B08F3"/>
    <w:rsid w:val="008B6FF5"/>
    <w:rsid w:val="008E1C5F"/>
    <w:rsid w:val="0092687B"/>
    <w:rsid w:val="00AB6CC2"/>
    <w:rsid w:val="00B2367A"/>
    <w:rsid w:val="00C134B6"/>
    <w:rsid w:val="00DA243F"/>
    <w:rsid w:val="00DA6896"/>
    <w:rsid w:val="00DC517D"/>
    <w:rsid w:val="00E27D95"/>
    <w:rsid w:val="00E74C31"/>
    <w:rsid w:val="00EF58CC"/>
    <w:rsid w:val="00F3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0258"/>
  <w15:chartTrackingRefBased/>
  <w15:docId w15:val="{276AAE27-A6AC-4584-92A8-F5F22773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8E1C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6C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1C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B6C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EF5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1824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Regulamin_przetargu_ustnego_nieograniczonego_na_oddanie_w_najem_lokalu_uzytkowego</vt:lpstr>
    </vt:vector>
  </TitlesOfParts>
  <Company/>
  <LinksUpToDate>false</LinksUpToDate>
  <CharactersWithSpaces>12749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Regulamin_przetargu_ustnego_nieograniczonego_na_oddanie_w_najem_lokalu_uzytkowego</dc:title>
  <dc:subject/>
  <dc:creator>Hanna Komar</dc:creator>
  <cp:keywords/>
  <dc:description/>
  <cp:lastModifiedBy>Hanna Komar</cp:lastModifiedBy>
  <cp:revision>13</cp:revision>
  <dcterms:created xsi:type="dcterms:W3CDTF">2022-02-11T12:30:00Z</dcterms:created>
  <dcterms:modified xsi:type="dcterms:W3CDTF">2023-01-26T12:45:00Z</dcterms:modified>
</cp:coreProperties>
</file>