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5E90CF9F" w:rsidR="008E1C5F" w:rsidRPr="00415743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415743">
        <w:rPr>
          <w:rFonts w:cstheme="majorHAnsi"/>
          <w:b/>
          <w:bCs/>
          <w:color w:val="auto"/>
          <w:sz w:val="28"/>
          <w:szCs w:val="28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 w:rsidRPr="00415743">
        <w:rPr>
          <w:rFonts w:cstheme="majorHAnsi"/>
          <w:b/>
          <w:bCs/>
          <w:color w:val="auto"/>
          <w:sz w:val="28"/>
          <w:szCs w:val="28"/>
        </w:rPr>
        <w:t>2</w:t>
      </w:r>
      <w:r w:rsidR="006D2A9F" w:rsidRPr="00415743">
        <w:rPr>
          <w:rFonts w:cstheme="majorHAnsi"/>
          <w:b/>
          <w:bCs/>
          <w:color w:val="auto"/>
          <w:sz w:val="28"/>
          <w:szCs w:val="28"/>
        </w:rPr>
        <w:t>3</w:t>
      </w:r>
      <w:r w:rsidR="00E27D95" w:rsidRPr="00415743">
        <w:rPr>
          <w:rFonts w:cstheme="majorHAnsi"/>
          <w:b/>
          <w:bCs/>
          <w:color w:val="auto"/>
          <w:sz w:val="28"/>
          <w:szCs w:val="28"/>
        </w:rPr>
        <w:t>,</w:t>
      </w:r>
      <w:r w:rsidR="006D2A9F" w:rsidRPr="00415743">
        <w:rPr>
          <w:rFonts w:cstheme="majorHAnsi"/>
          <w:b/>
          <w:bCs/>
          <w:color w:val="auto"/>
          <w:sz w:val="28"/>
          <w:szCs w:val="28"/>
        </w:rPr>
        <w:t>14</w:t>
      </w:r>
      <w:r w:rsidRPr="00415743">
        <w:rPr>
          <w:rFonts w:cstheme="majorHAnsi"/>
          <w:b/>
          <w:bCs/>
          <w:color w:val="auto"/>
          <w:sz w:val="28"/>
          <w:szCs w:val="28"/>
        </w:rPr>
        <w:t xml:space="preserve"> m2.</w:t>
      </w:r>
    </w:p>
    <w:p w14:paraId="11566964" w14:textId="67D79FB1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746DA2">
        <w:rPr>
          <w:rFonts w:asciiTheme="majorHAnsi" w:hAnsiTheme="majorHAnsi" w:cstheme="majorHAnsi"/>
          <w:sz w:val="24"/>
          <w:szCs w:val="24"/>
        </w:rPr>
        <w:t>30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746DA2">
        <w:rPr>
          <w:rFonts w:asciiTheme="majorHAnsi" w:hAnsiTheme="majorHAnsi" w:cstheme="majorHAnsi"/>
          <w:sz w:val="24"/>
          <w:szCs w:val="24"/>
        </w:rPr>
        <w:t>marca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10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746DA2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B,</w:t>
      </w:r>
      <w:r w:rsidR="00746DA2" w:rsidRPr="00746DA2">
        <w:rPr>
          <w:rFonts w:asciiTheme="majorHAnsi" w:hAnsiTheme="majorHAnsi" w:cstheme="majorHAnsi"/>
          <w:sz w:val="24"/>
          <w:szCs w:val="24"/>
        </w:rPr>
        <w:t xml:space="preserve"> </w:t>
      </w:r>
      <w:r w:rsidR="00746DA2">
        <w:rPr>
          <w:rFonts w:asciiTheme="majorHAnsi" w:hAnsiTheme="majorHAnsi" w:cstheme="majorHAnsi"/>
          <w:sz w:val="24"/>
          <w:szCs w:val="24"/>
        </w:rPr>
        <w:t>pokój numer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2C7615A6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6D2A9F">
        <w:rPr>
          <w:rFonts w:asciiTheme="majorHAnsi" w:hAnsiTheme="majorHAnsi" w:cstheme="majorHAnsi"/>
          <w:sz w:val="24"/>
          <w:szCs w:val="24"/>
        </w:rPr>
        <w:t>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67F9276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6D2A9F">
        <w:rPr>
          <w:rFonts w:asciiTheme="majorHAnsi" w:hAnsiTheme="majorHAnsi" w:cstheme="majorHAnsi"/>
          <w:sz w:val="24"/>
          <w:szCs w:val="24"/>
        </w:rPr>
        <w:t>23,14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415FD72F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746DA2">
        <w:rPr>
          <w:rFonts w:asciiTheme="majorHAnsi" w:hAnsiTheme="majorHAnsi" w:cstheme="majorHAnsi"/>
          <w:sz w:val="24"/>
          <w:szCs w:val="24"/>
        </w:rPr>
        <w:t>671,06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758DAA20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6D2A9F">
        <w:rPr>
          <w:rFonts w:asciiTheme="majorHAnsi" w:hAnsiTheme="majorHAnsi" w:cstheme="majorHAnsi"/>
          <w:sz w:val="24"/>
          <w:szCs w:val="24"/>
        </w:rPr>
        <w:t>6</w:t>
      </w:r>
      <w:r w:rsidR="00746DA2">
        <w:rPr>
          <w:rFonts w:asciiTheme="majorHAnsi" w:hAnsiTheme="majorHAnsi" w:cstheme="majorHAnsi"/>
          <w:sz w:val="24"/>
          <w:szCs w:val="24"/>
        </w:rPr>
        <w:t>71,06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46234">
        <w:rPr>
          <w:rFonts w:asciiTheme="majorHAnsi" w:hAnsiTheme="majorHAnsi" w:cstheme="majorHAnsi"/>
          <w:sz w:val="24"/>
          <w:szCs w:val="24"/>
        </w:rPr>
        <w:t>s</w:t>
      </w:r>
      <w:r w:rsidR="006D2A9F">
        <w:rPr>
          <w:rFonts w:asciiTheme="majorHAnsi" w:hAnsiTheme="majorHAnsi" w:cstheme="majorHAnsi"/>
          <w:sz w:val="24"/>
          <w:szCs w:val="24"/>
        </w:rPr>
        <w:t xml:space="preserve">ześćset </w:t>
      </w:r>
      <w:r w:rsidR="00746DA2">
        <w:rPr>
          <w:rFonts w:asciiTheme="majorHAnsi" w:hAnsiTheme="majorHAnsi" w:cstheme="majorHAnsi"/>
          <w:sz w:val="24"/>
          <w:szCs w:val="24"/>
        </w:rPr>
        <w:t>siedemdziesiąt jeden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746DA2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746DA2">
        <w:rPr>
          <w:rFonts w:asciiTheme="majorHAnsi" w:hAnsiTheme="majorHAnsi" w:cstheme="majorHAnsi"/>
          <w:sz w:val="24"/>
          <w:szCs w:val="24"/>
        </w:rPr>
        <w:t>06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2137C841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6D2A9F">
        <w:rPr>
          <w:rFonts w:asciiTheme="majorHAnsi" w:hAnsiTheme="majorHAnsi" w:cstheme="majorHAnsi"/>
          <w:sz w:val="24"/>
          <w:szCs w:val="24"/>
        </w:rPr>
        <w:t>3,14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15743"/>
    <w:rsid w:val="0046014F"/>
    <w:rsid w:val="005029F5"/>
    <w:rsid w:val="006873BA"/>
    <w:rsid w:val="006D2A9F"/>
    <w:rsid w:val="0071689C"/>
    <w:rsid w:val="00746DA2"/>
    <w:rsid w:val="007B08F3"/>
    <w:rsid w:val="008B6FF5"/>
    <w:rsid w:val="008E1C5F"/>
    <w:rsid w:val="0092687B"/>
    <w:rsid w:val="00AB6CC2"/>
    <w:rsid w:val="00C134B6"/>
    <w:rsid w:val="00CD4170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uzytkowego</dc:title>
  <dc:subject/>
  <dc:creator>Hanna Komar</dc:creator>
  <cp:keywords/>
  <dc:description/>
  <cp:lastModifiedBy>Hanna Komar</cp:lastModifiedBy>
  <cp:revision>14</cp:revision>
  <dcterms:created xsi:type="dcterms:W3CDTF">2022-02-11T12:30:00Z</dcterms:created>
  <dcterms:modified xsi:type="dcterms:W3CDTF">2023-03-07T07:47:00Z</dcterms:modified>
</cp:coreProperties>
</file>