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268A" w14:textId="1BDF1730" w:rsidR="004B619D" w:rsidRPr="00F40EE2" w:rsidRDefault="004B619D" w:rsidP="004B619D">
      <w:pPr>
        <w:pStyle w:val="Nagwek1"/>
        <w:spacing w:line="360" w:lineRule="auto"/>
        <w:rPr>
          <w:b/>
          <w:bCs/>
          <w:color w:val="auto"/>
          <w:sz w:val="28"/>
          <w:szCs w:val="28"/>
        </w:rPr>
      </w:pPr>
      <w:r w:rsidRPr="00F40EE2">
        <w:rPr>
          <w:b/>
          <w:bCs/>
          <w:color w:val="auto"/>
          <w:sz w:val="28"/>
          <w:szCs w:val="28"/>
        </w:rPr>
        <w:t xml:space="preserve">Ogłoszenie o </w:t>
      </w:r>
      <w:r w:rsidR="0032564B" w:rsidRPr="00F40EE2">
        <w:rPr>
          <w:b/>
          <w:bCs/>
          <w:color w:val="auto"/>
          <w:sz w:val="28"/>
          <w:szCs w:val="28"/>
        </w:rPr>
        <w:t>drugim</w:t>
      </w:r>
      <w:r w:rsidRPr="00F40EE2">
        <w:rPr>
          <w:b/>
          <w:bCs/>
          <w:color w:val="auto"/>
          <w:sz w:val="28"/>
          <w:szCs w:val="28"/>
        </w:rPr>
        <w:t xml:space="preserve"> ustnym przetargu nieograniczonym na oddanie w najem na czas nieoznaczony lokalu użytkowego położonego na terenie miasta Piotrkowa Trybunalskiego przy ulicy Narutowicza 19/Sienkiewicza 15</w:t>
      </w:r>
    </w:p>
    <w:p w14:paraId="53A02B90" w14:textId="3FCDA316"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użytkowy znajdujący się na parterze frontowego budynku mieszkalnego wielorodzinnego w Piotrkowie Trybunalskim, przy ulicy Narutowicza 19/Sienkiewicza 15</w:t>
      </w:r>
      <w:r w:rsidR="004C0F2B">
        <w:rPr>
          <w:rFonts w:asciiTheme="majorHAnsi" w:hAnsiTheme="majorHAnsi" w:cstheme="majorHAnsi"/>
          <w:sz w:val="24"/>
          <w:szCs w:val="24"/>
        </w:rPr>
        <w:t>,</w:t>
      </w:r>
      <w:r w:rsidRPr="004B619D">
        <w:rPr>
          <w:rFonts w:asciiTheme="majorHAnsi" w:hAnsiTheme="majorHAnsi" w:cstheme="majorHAnsi"/>
          <w:sz w:val="24"/>
          <w:szCs w:val="24"/>
        </w:rPr>
        <w:t xml:space="preserve"> na nieruchomości stanowiącej własność gminy Miasto Piotrków Trybunalski, oznaczonej numerem działki 157 o powierzchni działki 1000 m2, dla której prowadzona jest Księga Wieczysta numer PT1P/00081413/5.</w:t>
      </w:r>
    </w:p>
    <w:p w14:paraId="42B40C54" w14:textId="775C770E"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Powierzchnia użytkowa lokalu: </w:t>
      </w:r>
      <w:r w:rsidR="00C66E4B">
        <w:rPr>
          <w:rFonts w:asciiTheme="majorHAnsi" w:hAnsiTheme="majorHAnsi" w:cstheme="majorHAnsi"/>
          <w:sz w:val="24"/>
          <w:szCs w:val="24"/>
        </w:rPr>
        <w:t>30,64</w:t>
      </w:r>
      <w:r w:rsidRPr="004B619D">
        <w:rPr>
          <w:rFonts w:asciiTheme="majorHAnsi" w:hAnsiTheme="majorHAnsi" w:cstheme="majorHAnsi"/>
          <w:sz w:val="24"/>
          <w:szCs w:val="24"/>
        </w:rPr>
        <w:t xml:space="preserve"> m2, lokal składa się z </w:t>
      </w:r>
      <w:r w:rsidR="009D2CE8">
        <w:rPr>
          <w:rFonts w:asciiTheme="majorHAnsi" w:hAnsiTheme="majorHAnsi" w:cstheme="majorHAnsi"/>
          <w:sz w:val="24"/>
          <w:szCs w:val="24"/>
        </w:rPr>
        <w:t>jednego</w:t>
      </w:r>
      <w:r w:rsidRPr="004B619D">
        <w:rPr>
          <w:rFonts w:asciiTheme="majorHAnsi" w:hAnsiTheme="majorHAnsi" w:cstheme="majorHAnsi"/>
          <w:sz w:val="24"/>
          <w:szCs w:val="24"/>
        </w:rPr>
        <w:t xml:space="preserve"> pomieszcze</w:t>
      </w:r>
      <w:r w:rsidR="009D2CE8">
        <w:rPr>
          <w:rFonts w:asciiTheme="majorHAnsi" w:hAnsiTheme="majorHAnsi" w:cstheme="majorHAnsi"/>
          <w:sz w:val="24"/>
          <w:szCs w:val="24"/>
        </w:rPr>
        <w:t>nia</w:t>
      </w:r>
      <w:r w:rsidR="007E6C54">
        <w:rPr>
          <w:rFonts w:asciiTheme="majorHAnsi" w:hAnsiTheme="majorHAnsi" w:cstheme="majorHAnsi"/>
          <w:sz w:val="24"/>
          <w:szCs w:val="24"/>
        </w:rPr>
        <w:t xml:space="preserve"> </w:t>
      </w:r>
      <w:r w:rsidRPr="004B619D">
        <w:rPr>
          <w:rFonts w:asciiTheme="majorHAnsi" w:hAnsiTheme="majorHAnsi" w:cstheme="majorHAnsi"/>
          <w:sz w:val="24"/>
          <w:szCs w:val="24"/>
        </w:rPr>
        <w:t>handlowo-usługow</w:t>
      </w:r>
      <w:r w:rsidR="007E6C54">
        <w:rPr>
          <w:rFonts w:asciiTheme="majorHAnsi" w:hAnsiTheme="majorHAnsi" w:cstheme="majorHAnsi"/>
          <w:sz w:val="24"/>
          <w:szCs w:val="24"/>
        </w:rPr>
        <w:t>ego</w:t>
      </w:r>
      <w:r w:rsidRPr="004B619D">
        <w:rPr>
          <w:rFonts w:asciiTheme="majorHAnsi" w:hAnsiTheme="majorHAnsi" w:cstheme="majorHAnsi"/>
          <w:sz w:val="24"/>
          <w:szCs w:val="24"/>
        </w:rPr>
        <w:t>, zaplecz</w:t>
      </w:r>
      <w:r w:rsidR="007E6C54">
        <w:rPr>
          <w:rFonts w:asciiTheme="majorHAnsi" w:hAnsiTheme="majorHAnsi" w:cstheme="majorHAnsi"/>
          <w:sz w:val="24"/>
          <w:szCs w:val="24"/>
        </w:rPr>
        <w:t>a</w:t>
      </w:r>
      <w:r w:rsidR="00324824">
        <w:rPr>
          <w:rFonts w:asciiTheme="majorHAnsi" w:hAnsiTheme="majorHAnsi" w:cstheme="majorHAnsi"/>
          <w:sz w:val="24"/>
          <w:szCs w:val="24"/>
        </w:rPr>
        <w:t>,</w:t>
      </w:r>
      <w:r w:rsidR="00C66E4B">
        <w:rPr>
          <w:rFonts w:asciiTheme="majorHAnsi" w:hAnsiTheme="majorHAnsi" w:cstheme="majorHAnsi"/>
          <w:sz w:val="24"/>
          <w:szCs w:val="24"/>
        </w:rPr>
        <w:t xml:space="preserve"> pomieszczenia magazynowego</w:t>
      </w:r>
      <w:r w:rsidRPr="004B619D">
        <w:rPr>
          <w:rFonts w:asciiTheme="majorHAnsi" w:hAnsiTheme="majorHAnsi" w:cstheme="majorHAnsi"/>
          <w:sz w:val="24"/>
          <w:szCs w:val="24"/>
        </w:rPr>
        <w:t xml:space="preserve"> oraz </w:t>
      </w:r>
      <w:r w:rsidR="007E6C54">
        <w:rPr>
          <w:rFonts w:asciiTheme="majorHAnsi" w:hAnsiTheme="majorHAnsi" w:cstheme="majorHAnsi"/>
          <w:sz w:val="24"/>
          <w:szCs w:val="24"/>
        </w:rPr>
        <w:t xml:space="preserve">pomieszczenia </w:t>
      </w:r>
      <w:proofErr w:type="spellStart"/>
      <w:r w:rsidRPr="004B619D">
        <w:rPr>
          <w:rFonts w:asciiTheme="majorHAnsi" w:hAnsiTheme="majorHAnsi" w:cstheme="majorHAnsi"/>
          <w:sz w:val="24"/>
          <w:szCs w:val="24"/>
        </w:rPr>
        <w:t>wc</w:t>
      </w:r>
      <w:proofErr w:type="spellEnd"/>
      <w:r w:rsidRPr="004B619D">
        <w:rPr>
          <w:rFonts w:asciiTheme="majorHAnsi" w:hAnsiTheme="majorHAnsi" w:cstheme="majorHAnsi"/>
          <w:sz w:val="24"/>
          <w:szCs w:val="24"/>
        </w:rPr>
        <w:t>.</w:t>
      </w:r>
      <w:r w:rsidR="00C66E4B">
        <w:rPr>
          <w:rFonts w:asciiTheme="majorHAnsi" w:hAnsiTheme="majorHAnsi" w:cstheme="majorHAnsi"/>
          <w:sz w:val="24"/>
          <w:szCs w:val="24"/>
        </w:rPr>
        <w:t xml:space="preserve"> </w:t>
      </w:r>
      <w:r w:rsidRPr="004B619D">
        <w:rPr>
          <w:rFonts w:asciiTheme="majorHAnsi" w:hAnsiTheme="majorHAnsi" w:cstheme="majorHAnsi"/>
          <w:sz w:val="24"/>
          <w:szCs w:val="24"/>
        </w:rPr>
        <w:t>Wyposażony jest w instalację wodno-kanalizacyjną, instalację elektryczną.</w:t>
      </w:r>
    </w:p>
    <w:p w14:paraId="1049C444" w14:textId="77777777" w:rsidR="004B619D" w:rsidRPr="004B619D" w:rsidRDefault="004B619D" w:rsidP="004B619D">
      <w:p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Ogrzewanie lokalu: brak.</w:t>
      </w:r>
    </w:p>
    <w:p w14:paraId="78FB1EB2" w14:textId="19E1A8FB" w:rsidR="004B619D" w:rsidRPr="007E6C54" w:rsidRDefault="004B619D" w:rsidP="007E6C54">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Stan techniczny lokalu: średni, wymagany remont wnętrza. Zakres prac remontowych do wykonania w przedmiotowym lokalu użytkowym obciążających przyszłego najemcę obejmuje: </w:t>
      </w:r>
      <w:r w:rsidR="007E6C54">
        <w:rPr>
          <w:rFonts w:asciiTheme="majorHAnsi" w:hAnsiTheme="majorHAnsi" w:cstheme="majorHAnsi"/>
          <w:sz w:val="24"/>
          <w:szCs w:val="24"/>
        </w:rPr>
        <w:t>naprawa tynków ścian i malowanie całego lokalu,</w:t>
      </w:r>
      <w:r w:rsidR="00C66E4B">
        <w:rPr>
          <w:rFonts w:asciiTheme="majorHAnsi" w:hAnsiTheme="majorHAnsi" w:cstheme="majorHAnsi"/>
          <w:sz w:val="24"/>
          <w:szCs w:val="24"/>
        </w:rPr>
        <w:t xml:space="preserve"> wymiana drzwi wewnętrznych – 2 sztuki; wymiana wykładziny w pomieszczeniu magazynowym; wymiana umywalki, wymiana muszli sedesowej i </w:t>
      </w:r>
      <w:proofErr w:type="spellStart"/>
      <w:r w:rsidR="00C66E4B">
        <w:rPr>
          <w:rFonts w:asciiTheme="majorHAnsi" w:hAnsiTheme="majorHAnsi" w:cstheme="majorHAnsi"/>
          <w:sz w:val="24"/>
          <w:szCs w:val="24"/>
        </w:rPr>
        <w:t>dolnopłuka</w:t>
      </w:r>
      <w:proofErr w:type="spellEnd"/>
      <w:r w:rsidR="00C66E4B">
        <w:rPr>
          <w:rFonts w:asciiTheme="majorHAnsi" w:hAnsiTheme="majorHAnsi" w:cstheme="majorHAnsi"/>
          <w:sz w:val="24"/>
          <w:szCs w:val="24"/>
        </w:rPr>
        <w:t>; montaż baterii umywalkowej; wyposażenie lokalu w źródło grzewcze</w:t>
      </w:r>
      <w:r w:rsidRPr="007E6C54">
        <w:rPr>
          <w:rFonts w:asciiTheme="majorHAnsi" w:hAnsiTheme="majorHAnsi" w:cstheme="majorHAnsi"/>
          <w:sz w:val="24"/>
          <w:szCs w:val="24"/>
        </w:rPr>
        <w:t>, przystosowanie instalacji elektrycznej do własnych potrzeb, załatwienie formalności w Z</w:t>
      </w:r>
      <w:r w:rsidR="007E6C54">
        <w:rPr>
          <w:rFonts w:asciiTheme="majorHAnsi" w:hAnsiTheme="majorHAnsi" w:cstheme="majorHAnsi"/>
          <w:sz w:val="24"/>
          <w:szCs w:val="24"/>
        </w:rPr>
        <w:t xml:space="preserve">akładzie </w:t>
      </w:r>
      <w:r w:rsidRPr="007E6C54">
        <w:rPr>
          <w:rFonts w:asciiTheme="majorHAnsi" w:hAnsiTheme="majorHAnsi" w:cstheme="majorHAnsi"/>
          <w:sz w:val="24"/>
          <w:szCs w:val="24"/>
        </w:rPr>
        <w:t>E</w:t>
      </w:r>
      <w:r w:rsidR="007E6C54">
        <w:rPr>
          <w:rFonts w:asciiTheme="majorHAnsi" w:hAnsiTheme="majorHAnsi" w:cstheme="majorHAnsi"/>
          <w:sz w:val="24"/>
          <w:szCs w:val="24"/>
        </w:rPr>
        <w:t>nergetycznym</w:t>
      </w:r>
      <w:r w:rsidRPr="007E6C54">
        <w:rPr>
          <w:rFonts w:asciiTheme="majorHAnsi" w:hAnsiTheme="majorHAnsi" w:cstheme="majorHAnsi"/>
          <w:sz w:val="24"/>
          <w:szCs w:val="24"/>
        </w:rPr>
        <w:t xml:space="preserve"> związanych z </w:t>
      </w:r>
      <w:r w:rsidR="00C279A5" w:rsidRPr="007E6C54">
        <w:rPr>
          <w:rFonts w:asciiTheme="majorHAnsi" w:hAnsiTheme="majorHAnsi" w:cstheme="majorHAnsi"/>
          <w:sz w:val="24"/>
          <w:szCs w:val="24"/>
        </w:rPr>
        <w:t>zawarciem</w:t>
      </w:r>
      <w:r w:rsidRPr="007E6C54">
        <w:rPr>
          <w:rFonts w:asciiTheme="majorHAnsi" w:hAnsiTheme="majorHAnsi" w:cstheme="majorHAnsi"/>
          <w:sz w:val="24"/>
          <w:szCs w:val="24"/>
        </w:rPr>
        <w:t xml:space="preserve"> umowy na dostawę energii.</w:t>
      </w:r>
    </w:p>
    <w:p w14:paraId="54D58321" w14:textId="7777777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użytkowy został przeznaczony do najmu na czas nieoznaczony.</w:t>
      </w:r>
    </w:p>
    <w:p w14:paraId="1E147B8E" w14:textId="7777777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przeznaczony na działalność gospodarczą.</w:t>
      </w:r>
    </w:p>
    <w:p w14:paraId="12D4C603" w14:textId="7A105B2E" w:rsid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Przetarg odbędzie się w siedzibie Towarzystwa Budownictwa Społecznego Spółka z ograniczoną odpowiedzialnością w Piotrkowie Trybunalskim, Aleja 3 Maja 31 w dniu </w:t>
      </w:r>
      <w:r w:rsidR="00AD5224">
        <w:rPr>
          <w:rFonts w:asciiTheme="majorHAnsi" w:hAnsiTheme="majorHAnsi" w:cstheme="majorHAnsi"/>
          <w:sz w:val="24"/>
          <w:szCs w:val="24"/>
        </w:rPr>
        <w:t>30</w:t>
      </w:r>
      <w:r w:rsidRPr="004B619D">
        <w:rPr>
          <w:rFonts w:asciiTheme="majorHAnsi" w:hAnsiTheme="majorHAnsi" w:cstheme="majorHAnsi"/>
          <w:sz w:val="24"/>
          <w:szCs w:val="24"/>
        </w:rPr>
        <w:t xml:space="preserve"> </w:t>
      </w:r>
      <w:r w:rsidR="00AD5224">
        <w:rPr>
          <w:rFonts w:asciiTheme="majorHAnsi" w:hAnsiTheme="majorHAnsi" w:cstheme="majorHAnsi"/>
          <w:sz w:val="24"/>
          <w:szCs w:val="24"/>
        </w:rPr>
        <w:t>marca</w:t>
      </w:r>
      <w:r w:rsidRPr="004B619D">
        <w:rPr>
          <w:rFonts w:asciiTheme="majorHAnsi" w:hAnsiTheme="majorHAnsi" w:cstheme="majorHAnsi"/>
          <w:sz w:val="24"/>
          <w:szCs w:val="24"/>
        </w:rPr>
        <w:t xml:space="preserve"> 202</w:t>
      </w:r>
      <w:r w:rsidR="00F8326A">
        <w:rPr>
          <w:rFonts w:asciiTheme="majorHAnsi" w:hAnsiTheme="majorHAnsi" w:cstheme="majorHAnsi"/>
          <w:sz w:val="24"/>
          <w:szCs w:val="24"/>
        </w:rPr>
        <w:t>3</w:t>
      </w:r>
      <w:r w:rsidRPr="004B619D">
        <w:rPr>
          <w:rFonts w:asciiTheme="majorHAnsi" w:hAnsiTheme="majorHAnsi" w:cstheme="majorHAnsi"/>
          <w:sz w:val="24"/>
          <w:szCs w:val="24"/>
        </w:rPr>
        <w:t xml:space="preserve"> roku o godzinie </w:t>
      </w:r>
      <w:r w:rsidR="00F8326A">
        <w:rPr>
          <w:rFonts w:asciiTheme="majorHAnsi" w:hAnsiTheme="majorHAnsi" w:cstheme="majorHAnsi"/>
          <w:sz w:val="24"/>
          <w:szCs w:val="24"/>
        </w:rPr>
        <w:t>1</w:t>
      </w:r>
      <w:r w:rsidR="00C66E4B">
        <w:rPr>
          <w:rFonts w:asciiTheme="majorHAnsi" w:hAnsiTheme="majorHAnsi" w:cstheme="majorHAnsi"/>
          <w:sz w:val="24"/>
          <w:szCs w:val="24"/>
        </w:rPr>
        <w:t>1</w:t>
      </w:r>
      <w:r w:rsidRPr="004B619D">
        <w:rPr>
          <w:rFonts w:asciiTheme="majorHAnsi" w:hAnsiTheme="majorHAnsi" w:cstheme="majorHAnsi"/>
          <w:sz w:val="24"/>
          <w:szCs w:val="24"/>
        </w:rPr>
        <w:t>:</w:t>
      </w:r>
      <w:r w:rsidR="00C66E4B">
        <w:rPr>
          <w:rFonts w:asciiTheme="majorHAnsi" w:hAnsiTheme="majorHAnsi" w:cstheme="majorHAnsi"/>
          <w:sz w:val="24"/>
          <w:szCs w:val="24"/>
        </w:rPr>
        <w:t>0</w:t>
      </w:r>
      <w:r w:rsidRPr="004B619D">
        <w:rPr>
          <w:rFonts w:asciiTheme="majorHAnsi" w:hAnsiTheme="majorHAnsi" w:cstheme="majorHAnsi"/>
          <w:sz w:val="24"/>
          <w:szCs w:val="24"/>
        </w:rPr>
        <w:t>0 – Budynek B</w:t>
      </w:r>
      <w:r w:rsidR="0003499C">
        <w:rPr>
          <w:rFonts w:asciiTheme="majorHAnsi" w:hAnsiTheme="majorHAnsi" w:cstheme="majorHAnsi"/>
          <w:sz w:val="24"/>
          <w:szCs w:val="24"/>
        </w:rPr>
        <w:t>, pokój n</w:t>
      </w:r>
      <w:r w:rsidR="002C18E6">
        <w:rPr>
          <w:rFonts w:asciiTheme="majorHAnsi" w:hAnsiTheme="majorHAnsi" w:cstheme="majorHAnsi"/>
          <w:sz w:val="24"/>
          <w:szCs w:val="24"/>
        </w:rPr>
        <w:t>ume</w:t>
      </w:r>
      <w:r w:rsidR="0003499C">
        <w:rPr>
          <w:rFonts w:asciiTheme="majorHAnsi" w:hAnsiTheme="majorHAnsi" w:cstheme="majorHAnsi"/>
          <w:sz w:val="24"/>
          <w:szCs w:val="24"/>
        </w:rPr>
        <w:t>r 26</w:t>
      </w:r>
      <w:r w:rsidRPr="004B619D">
        <w:rPr>
          <w:rFonts w:asciiTheme="majorHAnsi" w:hAnsiTheme="majorHAnsi" w:cstheme="majorHAnsi"/>
          <w:sz w:val="24"/>
          <w:szCs w:val="24"/>
        </w:rPr>
        <w:t>.</w:t>
      </w:r>
    </w:p>
    <w:p w14:paraId="2A2EBE41" w14:textId="5477D399" w:rsidR="0032564B" w:rsidRDefault="0032564B" w:rsidP="0032564B">
      <w:pPr>
        <w:tabs>
          <w:tab w:val="left" w:pos="0"/>
        </w:tabs>
        <w:spacing w:line="360" w:lineRule="auto"/>
        <w:rPr>
          <w:rFonts w:asciiTheme="majorHAnsi" w:hAnsiTheme="majorHAnsi" w:cstheme="majorHAnsi"/>
          <w:sz w:val="24"/>
          <w:szCs w:val="24"/>
        </w:rPr>
      </w:pPr>
      <w:r w:rsidRPr="0032564B">
        <w:rPr>
          <w:rFonts w:asciiTheme="majorHAnsi" w:hAnsiTheme="majorHAnsi" w:cstheme="majorHAnsi"/>
          <w:sz w:val="24"/>
          <w:szCs w:val="24"/>
        </w:rPr>
        <w:t>Przeprowadzone przetargi na oddanie w najem przedmiotowego lokalu użytkowego: pierwszy przetarg w dniu 23.02.2023 r. zakończony został wynikiem negatywnym.</w:t>
      </w:r>
    </w:p>
    <w:p w14:paraId="07BD2940" w14:textId="7350626C"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Cena wywoławcza: </w:t>
      </w:r>
      <w:r w:rsidR="0032564B">
        <w:rPr>
          <w:rFonts w:asciiTheme="majorHAnsi" w:hAnsiTheme="majorHAnsi" w:cstheme="majorHAnsi"/>
          <w:sz w:val="24"/>
          <w:szCs w:val="24"/>
        </w:rPr>
        <w:t>888,56</w:t>
      </w:r>
      <w:r w:rsidRPr="004B619D">
        <w:rPr>
          <w:rFonts w:asciiTheme="majorHAnsi" w:hAnsiTheme="majorHAnsi" w:cstheme="majorHAnsi"/>
          <w:sz w:val="24"/>
          <w:szCs w:val="24"/>
        </w:rPr>
        <w:t xml:space="preserve"> zł - jako miesięczny czynsz netto ustalony dla danego lokalu.</w:t>
      </w:r>
    </w:p>
    <w:p w14:paraId="7EE42CA6" w14:textId="4CAFC008"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lastRenderedPageBreak/>
        <w:t xml:space="preserve">Wadium za lokal użytkowy przy ulicy Narutowicza 19/Sienkiewicza 15 wynosi: </w:t>
      </w:r>
      <w:r w:rsidR="001F42CC">
        <w:rPr>
          <w:rFonts w:asciiTheme="majorHAnsi" w:hAnsiTheme="majorHAnsi" w:cstheme="majorHAnsi"/>
          <w:sz w:val="24"/>
          <w:szCs w:val="24"/>
        </w:rPr>
        <w:t>888,56</w:t>
      </w:r>
      <w:r w:rsidRPr="004B619D">
        <w:rPr>
          <w:rFonts w:asciiTheme="majorHAnsi" w:hAnsiTheme="majorHAnsi" w:cstheme="majorHAnsi"/>
          <w:sz w:val="24"/>
          <w:szCs w:val="24"/>
        </w:rPr>
        <w:t xml:space="preserve"> zł, (słownie złotych: </w:t>
      </w:r>
      <w:r w:rsidR="001F42CC">
        <w:rPr>
          <w:rFonts w:asciiTheme="majorHAnsi" w:hAnsiTheme="majorHAnsi" w:cstheme="majorHAnsi"/>
          <w:sz w:val="24"/>
          <w:szCs w:val="24"/>
        </w:rPr>
        <w:t>osiemset osiemdziesiąt osiem</w:t>
      </w:r>
      <w:r w:rsidR="000E3698">
        <w:rPr>
          <w:rFonts w:asciiTheme="majorHAnsi" w:hAnsiTheme="majorHAnsi" w:cstheme="majorHAnsi"/>
          <w:sz w:val="24"/>
          <w:szCs w:val="24"/>
        </w:rPr>
        <w:t xml:space="preserve"> </w:t>
      </w:r>
      <w:r w:rsidRPr="004B619D">
        <w:rPr>
          <w:rFonts w:asciiTheme="majorHAnsi" w:hAnsiTheme="majorHAnsi" w:cstheme="majorHAnsi"/>
          <w:sz w:val="24"/>
          <w:szCs w:val="24"/>
        </w:rPr>
        <w:t>złot</w:t>
      </w:r>
      <w:r w:rsidR="00C66E4B">
        <w:rPr>
          <w:rFonts w:asciiTheme="majorHAnsi" w:hAnsiTheme="majorHAnsi" w:cstheme="majorHAnsi"/>
          <w:sz w:val="24"/>
          <w:szCs w:val="24"/>
        </w:rPr>
        <w:t>ych</w:t>
      </w:r>
      <w:r w:rsidRPr="004B619D">
        <w:rPr>
          <w:rFonts w:asciiTheme="majorHAnsi" w:hAnsiTheme="majorHAnsi" w:cstheme="majorHAnsi"/>
          <w:sz w:val="24"/>
          <w:szCs w:val="24"/>
        </w:rPr>
        <w:t xml:space="preserve"> </w:t>
      </w:r>
      <w:r w:rsidR="001F42CC">
        <w:rPr>
          <w:rFonts w:asciiTheme="majorHAnsi" w:hAnsiTheme="majorHAnsi" w:cstheme="majorHAnsi"/>
          <w:sz w:val="24"/>
          <w:szCs w:val="24"/>
        </w:rPr>
        <w:t>56</w:t>
      </w:r>
      <w:r w:rsidRPr="004B619D">
        <w:rPr>
          <w:rFonts w:asciiTheme="majorHAnsi" w:hAnsiTheme="majorHAnsi" w:cstheme="majorHAnsi"/>
          <w:sz w:val="24"/>
          <w:szCs w:val="24"/>
        </w:rPr>
        <w:t xml:space="preserve">/100), i musi znajdować się na rachunku bankowym Towarzystwa Budownictwa Społecznego Spółka z ograniczoną odpowiedzialnością w Piotrkowie Trybunalskim prowadzonym w: BNP PARIBAS numer konta 18 1600 1462 1004 1882 6000 0001 w terminie do dnia </w:t>
      </w:r>
      <w:r w:rsidR="001F42CC">
        <w:rPr>
          <w:rFonts w:asciiTheme="majorHAnsi" w:hAnsiTheme="majorHAnsi" w:cstheme="majorHAnsi"/>
          <w:sz w:val="24"/>
          <w:szCs w:val="24"/>
        </w:rPr>
        <w:t>24</w:t>
      </w:r>
      <w:r w:rsidRPr="004B619D">
        <w:rPr>
          <w:rFonts w:asciiTheme="majorHAnsi" w:hAnsiTheme="majorHAnsi" w:cstheme="majorHAnsi"/>
          <w:sz w:val="24"/>
          <w:szCs w:val="24"/>
        </w:rPr>
        <w:t xml:space="preserve"> </w:t>
      </w:r>
      <w:r w:rsidR="001F42CC">
        <w:rPr>
          <w:rFonts w:asciiTheme="majorHAnsi" w:hAnsiTheme="majorHAnsi" w:cstheme="majorHAnsi"/>
          <w:sz w:val="24"/>
          <w:szCs w:val="24"/>
        </w:rPr>
        <w:t>marca</w:t>
      </w:r>
      <w:r w:rsidRPr="004B619D">
        <w:rPr>
          <w:rFonts w:asciiTheme="majorHAnsi" w:hAnsiTheme="majorHAnsi" w:cstheme="majorHAnsi"/>
          <w:sz w:val="24"/>
          <w:szCs w:val="24"/>
        </w:rPr>
        <w:t xml:space="preserve"> 202</w:t>
      </w:r>
      <w:r w:rsidR="00F8326A">
        <w:rPr>
          <w:rFonts w:asciiTheme="majorHAnsi" w:hAnsiTheme="majorHAnsi" w:cstheme="majorHAnsi"/>
          <w:sz w:val="24"/>
          <w:szCs w:val="24"/>
        </w:rPr>
        <w:t>3</w:t>
      </w:r>
      <w:r w:rsidRPr="004B619D">
        <w:rPr>
          <w:rFonts w:asciiTheme="majorHAnsi" w:hAnsiTheme="majorHAnsi" w:cstheme="majorHAnsi"/>
          <w:sz w:val="24"/>
          <w:szCs w:val="24"/>
        </w:rPr>
        <w:t xml:space="preserve"> roku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1291E98C" w14:textId="782D17AE"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W terminie do dnia </w:t>
      </w:r>
      <w:r w:rsidR="001F42CC">
        <w:rPr>
          <w:rFonts w:asciiTheme="majorHAnsi" w:hAnsiTheme="majorHAnsi" w:cstheme="majorHAnsi"/>
          <w:sz w:val="24"/>
          <w:szCs w:val="24"/>
        </w:rPr>
        <w:t>24</w:t>
      </w:r>
      <w:r w:rsidRPr="004B619D">
        <w:rPr>
          <w:rFonts w:asciiTheme="majorHAnsi" w:hAnsiTheme="majorHAnsi" w:cstheme="majorHAnsi"/>
          <w:sz w:val="24"/>
          <w:szCs w:val="24"/>
        </w:rPr>
        <w:t xml:space="preserve"> </w:t>
      </w:r>
      <w:r w:rsidR="001F42CC">
        <w:rPr>
          <w:rFonts w:asciiTheme="majorHAnsi" w:hAnsiTheme="majorHAnsi" w:cstheme="majorHAnsi"/>
          <w:sz w:val="24"/>
          <w:szCs w:val="24"/>
        </w:rPr>
        <w:t>marca</w:t>
      </w:r>
      <w:r w:rsidRPr="004B619D">
        <w:rPr>
          <w:rFonts w:asciiTheme="majorHAnsi" w:hAnsiTheme="majorHAnsi" w:cstheme="majorHAnsi"/>
          <w:sz w:val="24"/>
          <w:szCs w:val="24"/>
        </w:rPr>
        <w:t xml:space="preserve"> 202</w:t>
      </w:r>
      <w:r w:rsidR="00F8326A">
        <w:rPr>
          <w:rFonts w:asciiTheme="majorHAnsi" w:hAnsiTheme="majorHAnsi" w:cstheme="majorHAnsi"/>
          <w:sz w:val="24"/>
          <w:szCs w:val="24"/>
        </w:rPr>
        <w:t>3</w:t>
      </w:r>
      <w:r w:rsidRPr="004B619D">
        <w:rPr>
          <w:rFonts w:asciiTheme="majorHAnsi" w:hAnsiTheme="majorHAnsi" w:cstheme="majorHAnsi"/>
          <w:sz w:val="24"/>
          <w:szCs w:val="24"/>
        </w:rPr>
        <w:t xml:space="preserve"> roku do godziny 12:00 oferent zobowiązany jest do złożenia w siedzibie Towarzystwa Budownictwa Społecznego Spółka z ograniczoną odpowiedzialnością w Piotrkowie Trybunalskim, Aleja 3 Maja 31, budynek A, Sekretariat – pokój numer 15 (telefon 44/732-37-70) - pisemnej oferty uczestnictwa w przetargu zawierającej w szczególności:</w:t>
      </w:r>
    </w:p>
    <w:p w14:paraId="28B58AD7" w14:textId="77777777" w:rsid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imię, nazwisko i adres (nazwę i siedzibę) oferenta,</w:t>
      </w:r>
    </w:p>
    <w:p w14:paraId="6AA85F8E" w14:textId="77777777" w:rsid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oznaczenie lokalu (adres, powierzchnia użytkowa), którego przetarg</w:t>
      </w:r>
      <w:r w:rsidR="00015FC4" w:rsidRPr="00015FC4">
        <w:rPr>
          <w:rFonts w:asciiTheme="majorHAnsi" w:hAnsiTheme="majorHAnsi" w:cstheme="majorHAnsi"/>
          <w:sz w:val="24"/>
          <w:szCs w:val="24"/>
        </w:rPr>
        <w:t xml:space="preserve"> </w:t>
      </w:r>
      <w:r w:rsidRPr="00015FC4">
        <w:rPr>
          <w:rFonts w:asciiTheme="majorHAnsi" w:hAnsiTheme="majorHAnsi" w:cstheme="majorHAnsi"/>
          <w:sz w:val="24"/>
          <w:szCs w:val="24"/>
        </w:rPr>
        <w:t>dotyczy,</w:t>
      </w:r>
    </w:p>
    <w:p w14:paraId="2A970751" w14:textId="46F61C4C" w:rsidR="004B619D" w:rsidRP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profil działalności.</w:t>
      </w:r>
    </w:p>
    <w:p w14:paraId="7F006C3D" w14:textId="77777777" w:rsidR="004B619D" w:rsidRPr="004B619D" w:rsidRDefault="004B619D" w:rsidP="004B619D">
      <w:p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Ponadto do oferty należy dołączyć:</w:t>
      </w:r>
    </w:p>
    <w:p w14:paraId="5E132F86" w14:textId="77777777" w:rsidR="00B01A32" w:rsidRDefault="004B619D" w:rsidP="00B01A32">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298A0049" w14:textId="77777777" w:rsidR="00B01A32" w:rsidRDefault="004B619D" w:rsidP="00B01A32">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zaświadczenie o niezaleganiu z zapłatą należności wobec Towarzystwa Budownictwa Społecznego Spółka z ograniczoną odpowiedzialnością w Piotrkowie Trybunalskim, /siedziba Towarzystwa Budownictwa Społecznego Spółka z ograniczoną odpowiedzialnością pokój 3 lub 9 (telefon 44/732-37-70 wewnętrzny 39 lub 25)/,</w:t>
      </w:r>
    </w:p>
    <w:p w14:paraId="24E9B61A" w14:textId="77777777" w:rsidR="00CE0B69" w:rsidRDefault="004B619D" w:rsidP="00CE0B69">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lastRenderedPageBreak/>
        <w:t>dowód wpłaty wadium,</w:t>
      </w:r>
    </w:p>
    <w:p w14:paraId="081362BD" w14:textId="77777777" w:rsidR="00CE0B69" w:rsidRDefault="004B619D" w:rsidP="00CE0B69">
      <w:pPr>
        <w:pStyle w:val="Akapitzlist"/>
        <w:numPr>
          <w:ilvl w:val="0"/>
          <w:numId w:val="8"/>
        </w:numPr>
        <w:tabs>
          <w:tab w:val="left" w:pos="0"/>
        </w:tabs>
        <w:spacing w:line="360" w:lineRule="auto"/>
        <w:rPr>
          <w:rFonts w:asciiTheme="majorHAnsi" w:hAnsiTheme="majorHAnsi" w:cstheme="majorHAnsi"/>
          <w:sz w:val="24"/>
          <w:szCs w:val="24"/>
        </w:rPr>
      </w:pPr>
      <w:r w:rsidRPr="00CE0B69">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(druk oświadczenia dostępny jest na stronie </w:t>
      </w:r>
      <w:r w:rsidRPr="00CE0B69">
        <w:rPr>
          <w:rFonts w:asciiTheme="majorHAnsi" w:hAnsiTheme="majorHAnsi" w:cstheme="majorHAnsi"/>
          <w:sz w:val="24"/>
          <w:szCs w:val="24"/>
          <w:u w:val="single"/>
        </w:rPr>
        <w:t>tbs.piotrkow.pl</w:t>
      </w:r>
      <w:r w:rsidRPr="00CE0B69">
        <w:rPr>
          <w:rFonts w:asciiTheme="majorHAnsi" w:hAnsiTheme="majorHAnsi" w:cstheme="majorHAnsi"/>
          <w:sz w:val="24"/>
          <w:szCs w:val="24"/>
        </w:rPr>
        <w:t>, lub siedzibie Towarzystwa Budownictwa Społecznego Spółka z ograniczoną odpowiedzialnością – budynek B, pokój numer 25, telefon 44/732-70-63).</w:t>
      </w:r>
    </w:p>
    <w:p w14:paraId="5CFAC908" w14:textId="77777777" w:rsidR="00FA2233" w:rsidRDefault="004B619D" w:rsidP="00FA2233">
      <w:pPr>
        <w:pStyle w:val="Akapitzlist"/>
        <w:numPr>
          <w:ilvl w:val="0"/>
          <w:numId w:val="8"/>
        </w:numPr>
        <w:tabs>
          <w:tab w:val="left" w:pos="0"/>
        </w:tabs>
        <w:spacing w:line="360" w:lineRule="auto"/>
        <w:rPr>
          <w:rFonts w:asciiTheme="majorHAnsi" w:hAnsiTheme="majorHAnsi" w:cstheme="majorHAnsi"/>
          <w:sz w:val="24"/>
          <w:szCs w:val="24"/>
        </w:rPr>
      </w:pPr>
      <w:r w:rsidRPr="00CE0B69">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CE0B69">
        <w:rPr>
          <w:rFonts w:asciiTheme="majorHAnsi" w:hAnsiTheme="majorHAnsi" w:cstheme="majorHAnsi"/>
          <w:sz w:val="24"/>
          <w:szCs w:val="24"/>
          <w:u w:val="single"/>
        </w:rPr>
        <w:t>tbs.piotrkow.pl</w:t>
      </w:r>
      <w:r w:rsidRPr="00CE0B69">
        <w:rPr>
          <w:rFonts w:asciiTheme="majorHAnsi" w:hAnsiTheme="majorHAnsi" w:cstheme="majorHAnsi"/>
          <w:sz w:val="24"/>
          <w:szCs w:val="24"/>
        </w:rPr>
        <w:t>, lub siedzibie Towarzystwa Budownictwa Społecznego Spółka z ograniczoną odpowiedzialnością– pokój numer 25, telefon 44/732-70-63).</w:t>
      </w:r>
    </w:p>
    <w:p w14:paraId="796A0851" w14:textId="40F492AC"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A2233">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1F42CC">
        <w:rPr>
          <w:rFonts w:asciiTheme="majorHAnsi" w:hAnsiTheme="majorHAnsi" w:cstheme="majorHAnsi"/>
          <w:sz w:val="24"/>
          <w:szCs w:val="24"/>
        </w:rPr>
        <w:t>drugiego</w:t>
      </w:r>
      <w:r w:rsidRPr="00FA2233">
        <w:rPr>
          <w:rFonts w:asciiTheme="majorHAnsi" w:hAnsiTheme="majorHAnsi" w:cstheme="majorHAnsi"/>
          <w:sz w:val="24"/>
          <w:szCs w:val="24"/>
        </w:rPr>
        <w:t xml:space="preserve"> ustnego przetargu nieograniczonego na najem lokalu użytkowego położonego w Piotrkowie Tryb., przy ulicy Narutowicza 19/Sienkiewicza 15 o powierzchni </w:t>
      </w:r>
      <w:r w:rsidR="00CA5D3C">
        <w:rPr>
          <w:rFonts w:asciiTheme="majorHAnsi" w:hAnsiTheme="majorHAnsi" w:cstheme="majorHAnsi"/>
          <w:sz w:val="24"/>
          <w:szCs w:val="24"/>
        </w:rPr>
        <w:t>30,64</w:t>
      </w:r>
      <w:r w:rsidRPr="00FA2233">
        <w:rPr>
          <w:rFonts w:asciiTheme="majorHAnsi" w:hAnsiTheme="majorHAnsi" w:cstheme="majorHAnsi"/>
          <w:sz w:val="24"/>
          <w:szCs w:val="24"/>
        </w:rPr>
        <w:t xml:space="preserve"> m2.</w:t>
      </w:r>
    </w:p>
    <w:p w14:paraId="5FD55B63" w14:textId="77777777"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Z regulaminem przetargu, warunkami najmu można zapoznać się w siedzibie Towarzystwa Budownictwa Społecznego Spółka z ograniczoną odpowiedzialnością w Piotrkowie Trybunalskim, Aleja 3 Maja 31, budynek</w:t>
      </w:r>
      <w:r w:rsidR="00FE5A29">
        <w:rPr>
          <w:rFonts w:asciiTheme="majorHAnsi" w:hAnsiTheme="majorHAnsi" w:cstheme="majorHAnsi"/>
          <w:sz w:val="24"/>
          <w:szCs w:val="24"/>
        </w:rPr>
        <w:t xml:space="preserve"> </w:t>
      </w:r>
      <w:r w:rsidRPr="00FE5A29">
        <w:rPr>
          <w:rFonts w:asciiTheme="majorHAnsi" w:hAnsiTheme="majorHAnsi" w:cstheme="majorHAnsi"/>
          <w:sz w:val="24"/>
          <w:szCs w:val="24"/>
        </w:rPr>
        <w:t>B: – pokój numer 25, natomiast informację o stanie technicznym lokalu można uzyskać w administracji budynku, to jest ZGM Spółka z ograniczoną odpowiedzialnością w Bytomiu Biuro Obsługi Klienta w Piotrkowie Trybunalskim, ulica Dąbrowskiego 4 (telefon 691420232). Informacji udziela się również telefonicznie pod numerem telefonu 44/732-70-63.</w:t>
      </w:r>
    </w:p>
    <w:p w14:paraId="21673513" w14:textId="77777777"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Przed przystąpieniem do przetargu należy dokonać oględzin lokalu w obecności pracownika administracji, to jest ZGM Spółka z ograniczoną odpowiedzialnością w Bytomiu Biuro Obsługi Klienta w Piotrkowie Trybunalskim, ulica Dąbrowskiego 4 (telefon 691420232). Oględzin lokalu można dokonać we wszystkie dni robocze w godzinach od 8:00 do 15:00.</w:t>
      </w:r>
    </w:p>
    <w:p w14:paraId="008FC912" w14:textId="77777777"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Osoby fizyczne uczestniczące w przetargu okazują komisji przetargowej w dniu przetargu dokument stwierdzający tożsamość.</w:t>
      </w:r>
    </w:p>
    <w:p w14:paraId="646A208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 xml:space="preserve">W przypadku osób fizycznych pozostających w związku małżeńskim, posiadających ustawową wspólność majątkową, do udziału w przetargu wymagana </w:t>
      </w:r>
      <w:r w:rsidRPr="00FE5A29">
        <w:rPr>
          <w:rFonts w:asciiTheme="majorHAnsi" w:hAnsiTheme="majorHAnsi" w:cstheme="majorHAnsi"/>
          <w:sz w:val="24"/>
          <w:szCs w:val="24"/>
        </w:rPr>
        <w:lastRenderedPageBreak/>
        <w:t>jest obecność obojga małżonków lub pisemna zgoda (podpis notarialnie</w:t>
      </w:r>
      <w:r w:rsidR="006A738A">
        <w:rPr>
          <w:rFonts w:asciiTheme="majorHAnsi" w:hAnsiTheme="majorHAnsi" w:cstheme="majorHAnsi"/>
          <w:sz w:val="24"/>
          <w:szCs w:val="24"/>
        </w:rPr>
        <w:t xml:space="preserve"> </w:t>
      </w:r>
      <w:r w:rsidRPr="00FE5A29">
        <w:rPr>
          <w:rFonts w:asciiTheme="majorHAnsi" w:hAnsiTheme="majorHAnsi" w:cstheme="majorHAnsi"/>
          <w:sz w:val="24"/>
          <w:szCs w:val="24"/>
        </w:rPr>
        <w:t>poświadczony) współmałżonka na przystąpienie do przetargu w celu wynajęcia lokalu użytkowego i zawarcia umowy najmu lokalu.</w:t>
      </w:r>
    </w:p>
    <w:p w14:paraId="3E3CCB48"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78A468D"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Osoby prawne krajowe i spółki z udziałem zagranicznym zobowiązane są przedłożyć oryginały lub poświadczone za zgodność z oryginałem: aktualny odpis z Krajowego Rejestru Sądowego, uchwałę odpowiedniego organu osoby prawnej zezwalającej na przystąpienie i udział w przetargu oraz inne konieczne upoważnienia, a osoba prowadząca działalność gospodarczą – zaświadczenie o wpisie do ewidencji działalności gospodarczej.</w:t>
      </w:r>
    </w:p>
    <w:p w14:paraId="578D767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58A6D898"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Do ustalonego w drodze licytacji czynszu doliczony będzie podatek VAT zgodnie z obowiązującymi w tym zakresie przepisami.</w:t>
      </w:r>
    </w:p>
    <w:p w14:paraId="0A0F461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01DF209F" w14:textId="77777777" w:rsidR="006A738A" w:rsidRDefault="004B619D" w:rsidP="006A738A">
      <w:pPr>
        <w:pStyle w:val="Akapitzlist"/>
        <w:numPr>
          <w:ilvl w:val="0"/>
          <w:numId w:val="12"/>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dla osób, które w terminie do 12 miesięcy poprzedzających złożenie oferty rozpoczęły prowadzenie działalności gospodarczej:</w:t>
      </w:r>
    </w:p>
    <w:p w14:paraId="79E594B0"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stawka czynszu na poziomie kosztów utrzymania 1 m2 lokalu,</w:t>
      </w:r>
    </w:p>
    <w:p w14:paraId="09A106A1"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drugi rok najmu – 40 % stawki czynszu ustalonej w drodze przetargu,</w:t>
      </w:r>
    </w:p>
    <w:p w14:paraId="5C87B283"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trzeci rok najmu – 70 % stawki czynszu ustalonej w drodze przetargu,</w:t>
      </w:r>
    </w:p>
    <w:p w14:paraId="6BEBE149"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36 miesiącach obowiązuje 100 % stawki ustalonej w drodze przetargu,</w:t>
      </w:r>
    </w:p>
    <w:p w14:paraId="186CAF12" w14:textId="77777777" w:rsid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12 miesięcy do 24 miesięcy przed złożeniem oferty, stawka za lokal wynosić będzie:</w:t>
      </w:r>
    </w:p>
    <w:p w14:paraId="7F63A598" w14:textId="77777777" w:rsid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40 % stawki czynszu ustalonej w drodze przetargu,</w:t>
      </w:r>
    </w:p>
    <w:p w14:paraId="05E92C1A" w14:textId="77777777" w:rsid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drugi rok najmu – 70 % stawki czynszu ustalonej w drodze przetargu,</w:t>
      </w:r>
    </w:p>
    <w:p w14:paraId="09BBBF11" w14:textId="6BADCEF3" w:rsidR="004B619D" w:rsidRP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lastRenderedPageBreak/>
        <w:t>po upływie drugiego roku najmu – 100 % stawki ustalonej w drodze przetargu,</w:t>
      </w:r>
    </w:p>
    <w:p w14:paraId="2551FACE" w14:textId="77777777" w:rsid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24 miesięcy i do 36 miesięcy przed złożeniem oferty, stawka za lokal wynosić będzie:</w:t>
      </w:r>
    </w:p>
    <w:p w14:paraId="599BDC97" w14:textId="77777777" w:rsidR="00D360D4" w:rsidRDefault="004B619D" w:rsidP="00D360D4">
      <w:pPr>
        <w:pStyle w:val="Akapitzlist"/>
        <w:numPr>
          <w:ilvl w:val="0"/>
          <w:numId w:val="17"/>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70 % stawki czynszu ustalonej w drodze przetargu,</w:t>
      </w:r>
    </w:p>
    <w:p w14:paraId="5633C22F" w14:textId="77777777" w:rsidR="00D360D4" w:rsidRDefault="004B619D" w:rsidP="00D360D4">
      <w:pPr>
        <w:pStyle w:val="Akapitzlist"/>
        <w:numPr>
          <w:ilvl w:val="0"/>
          <w:numId w:val="17"/>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upływie pierwszego roku najmu – 100 % stawki czynszu ustalonej w drodze przetargu,</w:t>
      </w:r>
    </w:p>
    <w:p w14:paraId="03A380E2" w14:textId="73F341E4" w:rsidR="004B619D" w:rsidRP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4B63777A" w14:textId="77777777" w:rsidR="00D360D4" w:rsidRDefault="004B619D" w:rsidP="00D360D4">
      <w:pPr>
        <w:pStyle w:val="Akapitzlist"/>
        <w:numPr>
          <w:ilvl w:val="0"/>
          <w:numId w:val="1"/>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Oferenci składający ofertę na najem lokalu zobowiązani są wykazać, że są podmiotem, który w okresie, o którym mowa w punkcie 19 rozpoczął prowadzenie działalności gospodarczej (zaświadczenie z Urzędu Skarbowego).</w:t>
      </w:r>
    </w:p>
    <w:p w14:paraId="28DE1435"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Czynsz najmu i opłaty niezależne od właściciela Najemca uiszcza na podstawie faktur wystawionych przez Towarzystwo Budownictwa Społecznego Spółka z ograniczoną odpowiedzialnością w Piotrkowie Trybunalskim. Czynsz najmu Najemca jest obowiązany uiszczać miesięcznie z góry bez uprzedniego wezwania w terminie do 10 każdego miesiąca kalendarzowego, za który przypada należność.</w:t>
      </w:r>
    </w:p>
    <w:p w14:paraId="4CD5BE0E"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6CB15903"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Oprócz czynszu Najemca będzie uiszczać Wynajmującemu opłaty niezależne od właściciela /zimna woda, odprowadzenie ścieków/.</w:t>
      </w:r>
    </w:p>
    <w:p w14:paraId="199E66F4"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06A95645" w14:textId="446548B5" w:rsidR="004B619D" w:rsidRP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Najemca lokalu zobowiązany jest do zawarcia odrębn</w:t>
      </w:r>
      <w:r w:rsidR="00F8326A">
        <w:rPr>
          <w:rFonts w:asciiTheme="majorHAnsi" w:hAnsiTheme="majorHAnsi" w:cstheme="majorHAnsi"/>
          <w:sz w:val="24"/>
          <w:szCs w:val="24"/>
        </w:rPr>
        <w:t>ej</w:t>
      </w:r>
      <w:r w:rsidRPr="009D479A">
        <w:rPr>
          <w:rFonts w:asciiTheme="majorHAnsi" w:hAnsiTheme="majorHAnsi" w:cstheme="majorHAnsi"/>
          <w:sz w:val="24"/>
          <w:szCs w:val="24"/>
        </w:rPr>
        <w:t xml:space="preserve"> um</w:t>
      </w:r>
      <w:r w:rsidR="00F8326A">
        <w:rPr>
          <w:rFonts w:asciiTheme="majorHAnsi" w:hAnsiTheme="majorHAnsi" w:cstheme="majorHAnsi"/>
          <w:sz w:val="24"/>
          <w:szCs w:val="24"/>
        </w:rPr>
        <w:t>o</w:t>
      </w:r>
      <w:r w:rsidRPr="009D479A">
        <w:rPr>
          <w:rFonts w:asciiTheme="majorHAnsi" w:hAnsiTheme="majorHAnsi" w:cstheme="majorHAnsi"/>
          <w:sz w:val="24"/>
          <w:szCs w:val="24"/>
        </w:rPr>
        <w:t>w</w:t>
      </w:r>
      <w:r w:rsidR="00F8326A">
        <w:rPr>
          <w:rFonts w:asciiTheme="majorHAnsi" w:hAnsiTheme="majorHAnsi" w:cstheme="majorHAnsi"/>
          <w:sz w:val="24"/>
          <w:szCs w:val="24"/>
        </w:rPr>
        <w:t>y</w:t>
      </w:r>
      <w:r w:rsidRPr="009D479A">
        <w:rPr>
          <w:rFonts w:asciiTheme="majorHAnsi" w:hAnsiTheme="majorHAnsi" w:cstheme="majorHAnsi"/>
          <w:sz w:val="24"/>
          <w:szCs w:val="24"/>
        </w:rPr>
        <w:t xml:space="preserve"> z dostawc</w:t>
      </w:r>
      <w:r w:rsidR="00F8326A">
        <w:rPr>
          <w:rFonts w:asciiTheme="majorHAnsi" w:hAnsiTheme="majorHAnsi" w:cstheme="majorHAnsi"/>
          <w:sz w:val="24"/>
          <w:szCs w:val="24"/>
        </w:rPr>
        <w:t>ą</w:t>
      </w:r>
      <w:r w:rsidRPr="009D479A">
        <w:rPr>
          <w:rFonts w:asciiTheme="majorHAnsi" w:hAnsiTheme="majorHAnsi" w:cstheme="majorHAnsi"/>
          <w:sz w:val="24"/>
          <w:szCs w:val="24"/>
        </w:rPr>
        <w:t xml:space="preserve"> w zakresie energii elektrycznej.</w:t>
      </w:r>
    </w:p>
    <w:p w14:paraId="295F5668" w14:textId="77777777" w:rsidR="004B619D" w:rsidRPr="004B619D" w:rsidRDefault="004B619D" w:rsidP="004B619D">
      <w:pPr>
        <w:spacing w:line="360" w:lineRule="auto"/>
        <w:rPr>
          <w:rFonts w:asciiTheme="majorHAnsi" w:hAnsiTheme="majorHAnsi" w:cstheme="majorHAnsi"/>
          <w:sz w:val="24"/>
          <w:szCs w:val="24"/>
        </w:rPr>
      </w:pPr>
      <w:r w:rsidRPr="004B619D">
        <w:rPr>
          <w:rFonts w:asciiTheme="majorHAnsi" w:hAnsiTheme="majorHAnsi" w:cstheme="majorHAnsi"/>
          <w:sz w:val="24"/>
          <w:szCs w:val="24"/>
        </w:rPr>
        <w:t xml:space="preserve">Towarzystwo Budownictwa Społecznego Spółka z ograniczoną odpowiedzialnością w Piotrkowie Trybunalskim zastrzega sobie prawo odwołania przetargu, z ważnych powodów o czym poinformuje niezwłocznie poprzez zamieszczenie ogłoszenia na tablicy ogłoszeń w </w:t>
      </w:r>
      <w:r w:rsidRPr="004B619D">
        <w:rPr>
          <w:rFonts w:asciiTheme="majorHAnsi" w:hAnsiTheme="majorHAnsi" w:cstheme="majorHAnsi"/>
          <w:sz w:val="24"/>
          <w:szCs w:val="24"/>
        </w:rPr>
        <w:lastRenderedPageBreak/>
        <w:t xml:space="preserve">siedzibie Towarzystwa Budownictwa Społecznego Spółka z ograniczoną odpowiedzialnością oraz stronie internetowej: </w:t>
      </w:r>
      <w:r w:rsidRPr="004B619D">
        <w:rPr>
          <w:rFonts w:asciiTheme="majorHAnsi" w:hAnsiTheme="majorHAnsi" w:cstheme="majorHAnsi"/>
          <w:sz w:val="24"/>
          <w:szCs w:val="24"/>
          <w:u w:val="single"/>
        </w:rPr>
        <w:t>tbs.piotrkow.pl</w:t>
      </w:r>
      <w:r w:rsidRPr="004B619D">
        <w:rPr>
          <w:rFonts w:asciiTheme="majorHAnsi" w:hAnsiTheme="majorHAnsi" w:cstheme="majorHAnsi"/>
          <w:sz w:val="24"/>
          <w:szCs w:val="24"/>
        </w:rPr>
        <w:t>.</w:t>
      </w:r>
    </w:p>
    <w:p w14:paraId="4982963E" w14:textId="77777777" w:rsidR="004B619D" w:rsidRPr="004B619D" w:rsidRDefault="004B619D" w:rsidP="004B619D">
      <w:pPr>
        <w:spacing w:line="360" w:lineRule="auto"/>
        <w:rPr>
          <w:rFonts w:asciiTheme="majorHAnsi" w:hAnsiTheme="majorHAnsi" w:cstheme="majorHAnsi"/>
          <w:sz w:val="24"/>
          <w:szCs w:val="24"/>
        </w:rPr>
      </w:pPr>
      <w:r w:rsidRPr="004B619D">
        <w:rPr>
          <w:rFonts w:asciiTheme="majorHAnsi" w:hAnsiTheme="majorHAnsi" w:cstheme="majorHAnsi"/>
          <w:sz w:val="24"/>
          <w:szCs w:val="24"/>
        </w:rPr>
        <w:t xml:space="preserve">Ogłoszenie niniejsze wywieszone zostało na tablicach ogłoszeń Urzędu Miasta Piotrkowa Trybunalskiego i Towarzystwa Budownictwa Społecznego Spółka z ograniczoną odpowiedzialnością w Piotrkowie Trybunalskim, zamieszczone na stronach internetowych Urzędu Miasta Piotrkowa Trybunalskiego: </w:t>
      </w:r>
      <w:r w:rsidRPr="004B619D">
        <w:rPr>
          <w:rFonts w:asciiTheme="majorHAnsi" w:hAnsiTheme="majorHAnsi" w:cstheme="majorHAnsi"/>
          <w:sz w:val="24"/>
          <w:szCs w:val="24"/>
          <w:u w:val="single"/>
        </w:rPr>
        <w:t>www.piotrkow.pl</w:t>
      </w:r>
      <w:r w:rsidRPr="004B619D">
        <w:rPr>
          <w:rFonts w:asciiTheme="majorHAnsi" w:hAnsiTheme="majorHAnsi" w:cstheme="majorHAnsi"/>
          <w:sz w:val="24"/>
          <w:szCs w:val="24"/>
        </w:rPr>
        <w:t xml:space="preserve"> w Biuletynie Informacji Publicznej: </w:t>
      </w:r>
      <w:r w:rsidRPr="004B619D">
        <w:rPr>
          <w:rFonts w:asciiTheme="majorHAnsi" w:hAnsiTheme="majorHAnsi" w:cstheme="majorHAnsi"/>
          <w:sz w:val="24"/>
          <w:szCs w:val="24"/>
          <w:u w:val="single"/>
        </w:rPr>
        <w:t>www.bip.piotrkow.pl</w:t>
      </w:r>
      <w:r w:rsidRPr="004B619D">
        <w:rPr>
          <w:rFonts w:asciiTheme="majorHAnsi" w:hAnsiTheme="majorHAnsi" w:cstheme="majorHAnsi"/>
          <w:sz w:val="24"/>
          <w:szCs w:val="24"/>
        </w:rPr>
        <w:t xml:space="preserve">, </w:t>
      </w:r>
      <w:r w:rsidRPr="004B619D">
        <w:rPr>
          <w:rFonts w:asciiTheme="majorHAnsi" w:hAnsiTheme="majorHAnsi" w:cstheme="majorHAnsi"/>
          <w:sz w:val="24"/>
          <w:szCs w:val="24"/>
          <w:u w:val="single"/>
        </w:rPr>
        <w:t>bip.tbs-piotrkow.pl</w:t>
      </w:r>
      <w:r w:rsidRPr="004B619D">
        <w:rPr>
          <w:rFonts w:asciiTheme="majorHAnsi" w:hAnsiTheme="majorHAnsi" w:cstheme="majorHAnsi"/>
          <w:sz w:val="24"/>
          <w:szCs w:val="24"/>
        </w:rPr>
        <w:t xml:space="preserve">, stronie internetowej Towarzystwa Budownictwa Społecznego Spółka z ograniczoną odpowiedzialnością w Piotrkowie Trybunalskim: </w:t>
      </w:r>
      <w:r w:rsidRPr="004B619D">
        <w:rPr>
          <w:rFonts w:asciiTheme="majorHAnsi" w:hAnsiTheme="majorHAnsi" w:cstheme="majorHAnsi"/>
          <w:sz w:val="24"/>
          <w:szCs w:val="24"/>
          <w:u w:val="single"/>
        </w:rPr>
        <w:t>tbs.piotrkow.pl</w:t>
      </w:r>
      <w:r w:rsidRPr="004B619D">
        <w:rPr>
          <w:rFonts w:asciiTheme="majorHAnsi" w:hAnsiTheme="majorHAnsi" w:cstheme="majorHAnsi"/>
          <w:sz w:val="24"/>
          <w:szCs w:val="24"/>
        </w:rPr>
        <w:t>, na lokalu użytkowym przeznaczonym do najmu, a wyciąg ogłoszenia o przetargu podany został do publicznej wiadomości w prasie.</w:t>
      </w:r>
    </w:p>
    <w:sectPr w:rsidR="004B619D" w:rsidRPr="004B6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F77"/>
    <w:multiLevelType w:val="hybridMultilevel"/>
    <w:tmpl w:val="9FDE9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C26EC0"/>
    <w:multiLevelType w:val="hybridMultilevel"/>
    <w:tmpl w:val="37B23642"/>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 w15:restartNumberingAfterBreak="0">
    <w:nsid w:val="17EF68FF"/>
    <w:multiLevelType w:val="hybridMultilevel"/>
    <w:tmpl w:val="B47C93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4" w15:restartNumberingAfterBreak="0">
    <w:nsid w:val="19AD418D"/>
    <w:multiLevelType w:val="hybridMultilevel"/>
    <w:tmpl w:val="8C38D1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711BB9"/>
    <w:multiLevelType w:val="hybridMultilevel"/>
    <w:tmpl w:val="2D58E0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D4E6CC5"/>
    <w:multiLevelType w:val="hybridMultilevel"/>
    <w:tmpl w:val="002AC3E6"/>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7" w15:restartNumberingAfterBreak="0">
    <w:nsid w:val="1E101569"/>
    <w:multiLevelType w:val="hybridMultilevel"/>
    <w:tmpl w:val="BCB4F3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269717CA"/>
    <w:multiLevelType w:val="hybridMultilevel"/>
    <w:tmpl w:val="8752DB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BCF649E"/>
    <w:multiLevelType w:val="hybridMultilevel"/>
    <w:tmpl w:val="B5F87B9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11" w15:restartNumberingAfterBreak="0">
    <w:nsid w:val="45EE6BA5"/>
    <w:multiLevelType w:val="hybridMultilevel"/>
    <w:tmpl w:val="DE7A7ED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6A8F3CB1"/>
    <w:multiLevelType w:val="hybridMultilevel"/>
    <w:tmpl w:val="0254A9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6F991F25"/>
    <w:multiLevelType w:val="hybridMultilevel"/>
    <w:tmpl w:val="17CEB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1067EF"/>
    <w:multiLevelType w:val="hybridMultilevel"/>
    <w:tmpl w:val="06AC3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795C0418"/>
    <w:multiLevelType w:val="hybridMultilevel"/>
    <w:tmpl w:val="54CC6B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7D43590E"/>
    <w:multiLevelType w:val="hybridMultilevel"/>
    <w:tmpl w:val="868AE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1725308">
    <w:abstractNumId w:val="6"/>
  </w:num>
  <w:num w:numId="2" w16cid:durableId="1791435401">
    <w:abstractNumId w:val="11"/>
  </w:num>
  <w:num w:numId="3" w16cid:durableId="1385063647">
    <w:abstractNumId w:val="7"/>
  </w:num>
  <w:num w:numId="4" w16cid:durableId="1985230499">
    <w:abstractNumId w:val="3"/>
  </w:num>
  <w:num w:numId="5" w16cid:durableId="2015263153">
    <w:abstractNumId w:val="1"/>
  </w:num>
  <w:num w:numId="6" w16cid:durableId="221256580">
    <w:abstractNumId w:val="10"/>
  </w:num>
  <w:num w:numId="7" w16cid:durableId="453645126">
    <w:abstractNumId w:val="15"/>
  </w:num>
  <w:num w:numId="8" w16cid:durableId="1053626785">
    <w:abstractNumId w:val="14"/>
  </w:num>
  <w:num w:numId="9" w16cid:durableId="1623416362">
    <w:abstractNumId w:val="9"/>
  </w:num>
  <w:num w:numId="10" w16cid:durableId="1119029490">
    <w:abstractNumId w:val="13"/>
  </w:num>
  <w:num w:numId="11" w16cid:durableId="1716853761">
    <w:abstractNumId w:val="17"/>
  </w:num>
  <w:num w:numId="12" w16cid:durableId="731857170">
    <w:abstractNumId w:val="5"/>
  </w:num>
  <w:num w:numId="13" w16cid:durableId="873151858">
    <w:abstractNumId w:val="16"/>
  </w:num>
  <w:num w:numId="14" w16cid:durableId="1200360561">
    <w:abstractNumId w:val="12"/>
  </w:num>
  <w:num w:numId="15" w16cid:durableId="930087058">
    <w:abstractNumId w:val="2"/>
  </w:num>
  <w:num w:numId="16" w16cid:durableId="51126724">
    <w:abstractNumId w:val="4"/>
  </w:num>
  <w:num w:numId="17" w16cid:durableId="1662808312">
    <w:abstractNumId w:val="8"/>
  </w:num>
  <w:num w:numId="18" w16cid:durableId="790901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9D"/>
    <w:rsid w:val="00015FC4"/>
    <w:rsid w:val="0003499C"/>
    <w:rsid w:val="000E3698"/>
    <w:rsid w:val="000F24A7"/>
    <w:rsid w:val="0019186C"/>
    <w:rsid w:val="001F42CC"/>
    <w:rsid w:val="001F4CEB"/>
    <w:rsid w:val="002339B5"/>
    <w:rsid w:val="00257327"/>
    <w:rsid w:val="002C18E6"/>
    <w:rsid w:val="00320D05"/>
    <w:rsid w:val="00324824"/>
    <w:rsid w:val="0032564B"/>
    <w:rsid w:val="004B619D"/>
    <w:rsid w:val="004C0F2B"/>
    <w:rsid w:val="0057478F"/>
    <w:rsid w:val="005A5F8D"/>
    <w:rsid w:val="00601255"/>
    <w:rsid w:val="006A738A"/>
    <w:rsid w:val="00741DA0"/>
    <w:rsid w:val="007B08F3"/>
    <w:rsid w:val="007E6C54"/>
    <w:rsid w:val="008261B7"/>
    <w:rsid w:val="009D2AF4"/>
    <w:rsid w:val="009D2CE8"/>
    <w:rsid w:val="009D479A"/>
    <w:rsid w:val="00A33B71"/>
    <w:rsid w:val="00AD5224"/>
    <w:rsid w:val="00AF1FF9"/>
    <w:rsid w:val="00B01A32"/>
    <w:rsid w:val="00B31E62"/>
    <w:rsid w:val="00BE0768"/>
    <w:rsid w:val="00C10F7F"/>
    <w:rsid w:val="00C279A5"/>
    <w:rsid w:val="00C3649B"/>
    <w:rsid w:val="00C66E4B"/>
    <w:rsid w:val="00CA5D3C"/>
    <w:rsid w:val="00CC1A9E"/>
    <w:rsid w:val="00CE0B69"/>
    <w:rsid w:val="00D1613E"/>
    <w:rsid w:val="00D360D4"/>
    <w:rsid w:val="00EC3E29"/>
    <w:rsid w:val="00F17EBE"/>
    <w:rsid w:val="00F40EE2"/>
    <w:rsid w:val="00F8326A"/>
    <w:rsid w:val="00FA2233"/>
    <w:rsid w:val="00FE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CB76"/>
  <w15:chartTrackingRefBased/>
  <w15:docId w15:val="{B0FE6954-373F-4D2B-825A-95EF27A4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4B61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B619D"/>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015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6</Pages>
  <Words>1615</Words>
  <Characters>9693</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23-02-23 Pierwszy Przetarg Narutowicza 19-Sienkiewicza 15 30,64 m2 lokal uzytkowy</vt:lpstr>
    </vt:vector>
  </TitlesOfParts>
  <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23-03-30 Drugi Przetarg Narutowicza 19-Sienkiewicza 15 30,64 m2 lokal uzytkowy</dc:title>
  <dc:subject/>
  <dc:creator>Hanna Komar</dc:creator>
  <cp:keywords/>
  <dc:description/>
  <cp:lastModifiedBy>Hanna Komar</cp:lastModifiedBy>
  <cp:revision>23</cp:revision>
  <dcterms:created xsi:type="dcterms:W3CDTF">2022-02-11T12:34:00Z</dcterms:created>
  <dcterms:modified xsi:type="dcterms:W3CDTF">2023-03-07T07:31:00Z</dcterms:modified>
</cp:coreProperties>
</file>